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Open Sans" w:hAnsi="Open Sans" w:cs="Open Sans"/>
          <w:b/>
          <w:color w:val="999999"/>
          <w:sz w:val="16"/>
          <w:spacing w:val="60"/>
        </w:rPr>
        <w:t>SFU · FACULTY OF HEALTH SCIENCES · CAPSTONE</w:t>
      </w:r>
    </w:p>
    <w:p>
      <w:pPr>
        <w:spacing w:after="80"/>
      </w:pPr>
      <w:r>
        <w:rPr>
          <w:rFonts w:ascii="Open Sans" w:hAnsi="Open Sans" w:cs="Open Sans"/>
          <w:b/>
          <w:i w:val="0"/>
          <w:color w:val="065C50"/>
          <w:sz w:val="22"/>
        </w:rPr>
        <w:t>HSCI 410 — Applied Public Health Data Analysis in R</w:t>
      </w:r>
    </w:p>
    <w:p>
      <w:pPr>
        <w:spacing w:after="80"/>
      </w:pPr>
      <w:r>
        <w:rPr>
          <w:rFonts w:ascii="Open Sans" w:hAnsi="Open Sans" w:cs="Open Sans"/>
          <w:b/>
          <w:color w:val="042A25"/>
          <w:sz w:val="48"/>
        </w:rPr>
        <w:t>Term capstone — The Reproducible Analytic Paper</w:t>
      </w:r>
    </w:p>
    <w:p>
      <w:pPr>
        <w:pBdr>
          <w:bottom w:val="single" w:sz="8" w:space="1" w:color="0B7B6B"/>
        </w:pBdr>
        <w:spacing w:after="120"/>
      </w:pPr>
    </w:p>
    <w:p>
      <w:pPr>
        <w:spacing w:after="200"/>
      </w:pPr>
      <w:r>
        <w:rPr>
          <w:rFonts w:ascii="Open Sans" w:hAnsi="Open Sans" w:cs="Open Sans"/>
          <w:b w:val="0"/>
          <w:i/>
          <w:color w:val="555555"/>
          <w:sz w:val="20"/>
        </w:rPr>
        <w:t>This is the single source of truth for the term capstone. It contains the overview, all twelve weekly milestones (each with its brief and rubric), and the final integrated deliverable — template plus rubric. This document replaces the previous set of per-week documents.</w:t>
      </w:r>
    </w:p>
    <w:p>
      <w:pPr>
        <w:spacing w:before="320" w:after="120"/>
        <w:outlineLvl w:val="0"/>
      </w:pPr>
      <w:r>
        <w:rPr>
          <w:rFonts w:ascii="Open Sans" w:hAnsi="Open Sans" w:cs="Open Sans"/>
          <w:b/>
          <w:color w:val="065C50"/>
          <w:sz w:val="36"/>
        </w:rPr>
        <w:t>PART 1 — Capstone overview</w:t>
      </w:r>
    </w:p>
    <w:p>
      <w:pPr>
        <w:spacing w:before="200" w:after="80"/>
        <w:outlineLvl w:val="1"/>
      </w:pPr>
      <w:r>
        <w:rPr>
          <w:rFonts w:ascii="Open Sans" w:hAnsi="Open Sans" w:cs="Open Sans"/>
          <w:b/>
          <w:color w:val="065C50"/>
          <w:sz w:val="26"/>
        </w:rPr>
        <w:t>Term capstone — The Reproducible Analytic Paper</w:t>
      </w:r>
    </w:p>
    <w:p>
      <w:pPr>
        <w:spacing w:after="120"/>
      </w:pPr>
      <w:r>
        <w:rPr>
          <w:rFonts w:ascii="Open Sans" w:hAnsi="Open Sans" w:cs="Open Sans"/>
          <w:b w:val="0"/>
          <w:i w:val="0"/>
          <w:sz w:val="21"/>
        </w:rPr>
        <w:t>An end-to-end reproducible analysis of a real public-health dataset</w:t>
      </w:r>
    </w:p>
    <w:p>
      <w:pPr>
        <w:spacing w:after="120"/>
      </w:pPr>
      <w:r>
        <w:rPr>
          <w:rFonts w:ascii="Open Sans" w:hAnsi="Open Sans" w:cs="Open Sans"/>
          <w:b w:val="0"/>
          <w:i w:val="0"/>
          <w:sz w:val="21"/>
        </w:rPr>
        <w:t>What you will produce</w:t>
      </w:r>
    </w:p>
    <w:p>
      <w:pPr>
        <w:spacing w:after="120"/>
      </w:pPr>
      <w:r>
        <w:rPr>
          <w:rFonts w:ascii="Open Sans" w:hAnsi="Open Sans" w:cs="Open Sans"/>
          <w:b w:val="0"/>
          <w:i w:val="0"/>
          <w:sz w:val="21"/>
        </w:rPr>
        <w:t>A 10–15 page reproducible analytic paper using a real public-health dataset, accompanied by a fully reproducible RMarkdown source, the cleaned dataset (or a derivation script), and a public GitHub repository link.</w:t>
      </w:r>
    </w:p>
    <w:p>
      <w:pPr>
        <w:spacing w:after="120"/>
      </w:pPr>
      <w:r>
        <w:rPr>
          <w:rFonts w:ascii="Open Sans" w:hAnsi="Open Sans" w:cs="Open Sans"/>
          <w:b w:val="0"/>
          <w:i w:val="0"/>
          <w:sz w:val="21"/>
        </w:rPr>
        <w:t>Learning outcomes</w:t>
      </w:r>
    </w:p>
    <w:p>
      <w:pPr>
        <w:pStyle w:val="ListBullet"/>
        <w:spacing w:after="40"/>
      </w:pPr>
      <w:r>
        <w:rPr>
          <w:rFonts w:ascii="Open Sans" w:hAnsi="Open Sans" w:cs="Open Sans"/>
          <w:sz w:val="21"/>
        </w:rPr>
        <w:t>Translate a public-health question into a pre-registered analysis plan.</w:t>
      </w:r>
    </w:p>
    <w:p>
      <w:pPr>
        <w:pStyle w:val="ListBullet"/>
        <w:spacing w:after="40"/>
      </w:pPr>
      <w:r>
        <w:rPr>
          <w:rFonts w:ascii="Open Sans" w:hAnsi="Open Sans" w:cs="Open Sans"/>
          <w:sz w:val="21"/>
        </w:rPr>
        <w:t>Build, diagnose, and interpret regression models appropriate to outcome type (continuous, binary, count, time-to-event, clustered, longitudinal).</w:t>
      </w:r>
    </w:p>
    <w:p>
      <w:pPr>
        <w:pStyle w:val="ListBullet"/>
        <w:spacing w:after="40"/>
      </w:pPr>
      <w:r>
        <w:rPr>
          <w:rFonts w:ascii="Open Sans" w:hAnsi="Open Sans" w:cs="Open Sans"/>
          <w:sz w:val="21"/>
        </w:rPr>
        <w:t>Defend modeling choices, including alternative specifications and sensitivity analyses.</w:t>
      </w:r>
    </w:p>
    <w:p>
      <w:pPr>
        <w:pStyle w:val="ListBullet"/>
        <w:spacing w:after="40"/>
      </w:pPr>
      <w:r>
        <w:rPr>
          <w:rFonts w:ascii="Open Sans" w:hAnsi="Open Sans" w:cs="Open Sans"/>
          <w:sz w:val="21"/>
        </w:rPr>
        <w:t>Produce a fully reproducible analysis (RMarkdown + GitHub repo) that another analyst could re-run end-to-end.</w:t>
      </w:r>
    </w:p>
    <w:p>
      <w:pPr>
        <w:pStyle w:val="ListBullet"/>
        <w:spacing w:after="40"/>
      </w:pPr>
      <w:r>
        <w:rPr>
          <w:rFonts w:ascii="Open Sans" w:hAnsi="Open Sans" w:cs="Open Sans"/>
          <w:sz w:val="21"/>
        </w:rPr>
        <w:t>Communicate quantitative results in plain language with calibrated uncertainty.</w:t>
      </w:r>
    </w:p>
    <w:p>
      <w:pPr>
        <w:spacing w:after="120"/>
      </w:pPr>
      <w:r>
        <w:rPr>
          <w:rFonts w:ascii="Open Sans" w:hAnsi="Open Sans" w:cs="Open Sans"/>
          <w:b w:val="0"/>
          <w:i w:val="0"/>
          <w:sz w:val="21"/>
        </w:rPr>
        <w:t>How the capstone is built — week by week</w:t>
      </w:r>
    </w:p>
    <w:p>
      <w:pPr>
        <w:spacing w:after="120"/>
      </w:pPr>
      <w:r>
        <w:rPr>
          <w:rFonts w:ascii="Open Sans" w:hAnsi="Open Sans" w:cs="Open Sans"/>
          <w:b w:val="0"/>
          <w:i w:val="0"/>
          <w:sz w:val="21"/>
        </w:rPr>
        <w:t>Every week of class includes a piece of your capstone. The piece aligns with what you learned that week, so the project develops with the course rather than at the end of it. Each week’s piece is small (1–2 hours of focused work) and graded for participation, alignment, and honesty about uncertainty.</w:t>
      </w:r>
    </w:p>
    <w:p>
      <w:pPr>
        <w:spacing w:after="120"/>
      </w:pPr>
      <w:r>
        <w:rPr>
          <w:rFonts w:ascii="Open Sans" w:hAnsi="Open Sans" w:cs="Open Sans"/>
          <w:b w:val="0"/>
          <w:i w:val="0"/>
          <w:sz w:val="21"/>
        </w:rPr>
        <w:t>Weighting</w:t>
      </w:r>
    </w:p>
    <w:p>
      <w:pPr>
        <w:spacing w:after="120"/>
      </w:pPr>
      <w:r>
        <w:rPr>
          <w:rFonts w:ascii="Open Sans" w:hAnsi="Open Sans" w:cs="Open Sans"/>
          <w:b w:val="0"/>
          <w:i w:val="0"/>
          <w:sz w:val="21"/>
        </w:rPr>
        <w:t>Weekly milestones: 2.5% each (Weeks 1–11, 27.5% total). Final paper milestone (Week 12 in-class submission, 5-mark): 2.5%. Final paper + reproducible repo: 25%. Peer code review of one classmate’s repo: 5%. Total course weight: 60%.</w:t>
      </w:r>
    </w:p>
    <w:p>
      <w:pPr>
        <w:spacing w:after="120"/>
      </w:pPr>
      <w:r>
        <w:rPr>
          <w:rFonts w:ascii="Open Sans" w:hAnsi="Open Sans" w:cs="Open Sans"/>
          <w:b w:val="0"/>
          <w:i w:val="0"/>
          <w:sz w:val="21"/>
        </w:rPr>
        <w:t>How weekly milestones are graded</w:t>
      </w:r>
    </w:p>
    <w:p>
      <w:pPr>
        <w:pStyle w:val="ListBullet"/>
        <w:spacing w:after="40"/>
      </w:pPr>
      <w:r>
        <w:rPr>
          <w:rFonts w:ascii="Open Sans" w:hAnsi="Open Sans" w:cs="Open Sans"/>
          <w:sz w:val="21"/>
        </w:rPr>
        <w:t>Each milestone is marked out of 5.</w:t>
      </w:r>
    </w:p>
    <w:p>
      <w:pPr>
        <w:pStyle w:val="ListBullet"/>
        <w:spacing w:after="40"/>
      </w:pPr>
      <w:r>
        <w:rPr>
          <w:rFonts w:ascii="Open Sans" w:hAnsi="Open Sans" w:cs="Open Sans"/>
          <w:sz w:val="21"/>
        </w:rPr>
        <w:t>3 marks for completing the deliverable on time and applying that week’s lecture content.</w:t>
      </w:r>
    </w:p>
    <w:p>
      <w:pPr>
        <w:pStyle w:val="ListBullet"/>
        <w:spacing w:after="40"/>
      </w:pPr>
      <w:r>
        <w:rPr>
          <w:rFonts w:ascii="Open Sans" w:hAnsi="Open Sans" w:cs="Open Sans"/>
          <w:sz w:val="21"/>
        </w:rPr>
        <w:t>1 mark for evidence/sourcing — claims grounded in real, named sources.</w:t>
      </w:r>
    </w:p>
    <w:p>
      <w:pPr>
        <w:pStyle w:val="ListBullet"/>
        <w:spacing w:after="40"/>
      </w:pPr>
      <w:r>
        <w:rPr>
          <w:rFonts w:ascii="Open Sans" w:hAnsi="Open Sans" w:cs="Open Sans"/>
          <w:sz w:val="21"/>
        </w:rPr>
        <w:t>1 mark for clarity and reproducibility — someone else could build on what you submitted.</w:t>
      </w:r>
    </w:p>
    <w:p>
      <w:pPr>
        <w:pStyle w:val="ListBullet"/>
        <w:spacing w:after="40"/>
      </w:pPr>
      <w:r>
        <w:rPr>
          <w:rFonts w:ascii="Open Sans" w:hAnsi="Open Sans" w:cs="Open Sans"/>
          <w:sz w:val="21"/>
        </w:rPr>
        <w:t>Honest acknowledgment of uncertainty earns full credit. Overclaiming does not.</w:t>
      </w:r>
    </w:p>
    <w:p>
      <w:pPr>
        <w:spacing w:after="120"/>
      </w:pPr>
      <w:r>
        <w:rPr>
          <w:rFonts w:ascii="Open Sans" w:hAnsi="Open Sans" w:cs="Open Sans"/>
          <w:b w:val="0"/>
          <w:i w:val="0"/>
          <w:sz w:val="21"/>
        </w:rPr>
        <w:t>Working with classmates and AI tools</w:t>
      </w:r>
    </w:p>
    <w:p>
      <w:pPr>
        <w:spacing w:after="120"/>
      </w:pPr>
      <w:r>
        <w:rPr>
          <w:rFonts w:ascii="Open Sans" w:hAnsi="Open Sans" w:cs="Open Sans"/>
          <w:b w:val="0"/>
          <w:i w:val="0"/>
          <w:sz w:val="21"/>
        </w:rPr>
        <w:t>Discussing your capstone with classmates is encouraged. The week’s milestone must be your own work, in your own words. AI tools (e.g., ChatGPT, Claude) may be used for editing and brainstorming — disclose any AI assistance in a 1-line statement at the bottom of each weekly milestone (e.g., “Used Claude to refine wording on paragraph 2; reviewed and revised all suggestions.”). Do not paste AI-generated text without verification or disclosure.</w:t>
      </w:r>
    </w:p>
    <w:p>
      <w:pPr>
        <w:spacing w:after="120"/>
      </w:pPr>
      <w:r>
        <w:rPr>
          <w:rFonts w:ascii="Open Sans" w:hAnsi="Open Sans" w:cs="Open Sans"/>
          <w:b w:val="0"/>
          <w:i w:val="0"/>
          <w:sz w:val="21"/>
        </w:rPr>
        <w:t>Late policy</w:t>
      </w:r>
    </w:p>
    <w:p>
      <w:pPr>
        <w:spacing w:after="120"/>
      </w:pPr>
      <w:r>
        <w:rPr>
          <w:rFonts w:ascii="Open Sans" w:hAnsi="Open Sans" w:cs="Open Sans"/>
          <w:b w:val="0"/>
          <w:i w:val="0"/>
          <w:sz w:val="21"/>
        </w:rPr>
        <w:t>Each milestone is due before the next class. One late milestone per term may be submitted within 7 days for full credit, no questions asked — just email the instructor before the deadline. Beyond that, late milestones lose 20% per day.</w:t>
      </w:r>
    </w:p>
    <w:p>
      <w:pPr>
        <w:spacing w:after="120"/>
      </w:pPr>
      <w:r>
        <w:rPr>
          <w:rFonts w:ascii="Open Sans" w:hAnsi="Open Sans" w:cs="Open Sans"/>
          <w:b w:val="0"/>
          <w:i w:val="0"/>
          <w:sz w:val="21"/>
        </w:rPr>
        <w:t>Peer review</w:t>
      </w:r>
    </w:p>
    <w:p>
      <w:pPr>
        <w:spacing w:after="120"/>
      </w:pPr>
      <w:r>
        <w:rPr>
          <w:rFonts w:ascii="Open Sans" w:hAnsi="Open Sans" w:cs="Open Sans"/>
          <w:b w:val="0"/>
          <w:i w:val="0"/>
          <w:sz w:val="21"/>
        </w:rPr>
        <w:t>In Week 12 you will exchange your final deliverable with one classmate and complete a structured peer review (template provided). Peer review is worth 5% of the course grade and is graded on the quality of the review you provide, not the score you give.</w:t>
      </w:r>
    </w:p>
    <w:p>
      <w:pPr>
        <w:spacing w:before="320" w:after="120"/>
        <w:outlineLvl w:val="0"/>
      </w:pPr>
      <w:r>
        <w:rPr>
          <w:rFonts w:ascii="Open Sans" w:hAnsi="Open Sans" w:cs="Open Sans"/>
          <w:b/>
          <w:color w:val="065C50"/>
          <w:sz w:val="36"/>
        </w:rPr>
        <w:t>PART 2 — Weekly milestones</w:t>
      </w:r>
    </w:p>
    <w:p>
      <w:pPr>
        <w:spacing w:after="120"/>
      </w:pPr>
      <w:r>
        <w:rPr>
          <w:rFonts w:ascii="Open Sans" w:hAnsi="Open Sans" w:cs="Open Sans"/>
          <w:b w:val="0"/>
          <w:i/>
          <w:color w:val="555555"/>
          <w:sz w:val="21"/>
        </w:rPr>
        <w:t>Each weekly milestone aligns with that week's lecture content. The brief tells you what to submit; the rubric tells you how it will be marked. Every milestone is worth 2.5% of the course grade.</w:t>
      </w:r>
    </w:p>
    <w:p>
      <w:pPr>
        <w:spacing w:after="40"/>
      </w:pPr>
      <w:r>
        <w:rPr>
          <w:rFonts w:ascii="Open Sans" w:hAnsi="Open Sans" w:cs="Open Sans"/>
          <w:b/>
          <w:color w:val="999999"/>
          <w:sz w:val="16"/>
          <w:spacing w:val="60"/>
        </w:rPr>
        <w:t>WEEK 01</w:t>
      </w:r>
    </w:p>
    <w:p>
      <w:pPr>
        <w:spacing w:after="40"/>
      </w:pPr>
      <w:r>
        <w:rPr>
          <w:rFonts w:ascii="Open Sans" w:hAnsi="Open Sans" w:cs="Open Sans"/>
          <w:b/>
          <w:color w:val="065C50"/>
          <w:sz w:val="32"/>
        </w:rPr>
        <w:t>Data Source Proposal + Pre-Registered Plan</w:t>
      </w:r>
    </w:p>
    <w:p>
      <w:pPr>
        <w:spacing w:after="80"/>
      </w:pPr>
      <w:r>
        <w:rPr>
          <w:rFonts w:ascii="Open Sans" w:hAnsi="Open Sans" w:cs="Open Sans"/>
          <w:i/>
          <w:color w:val="555555"/>
          <w:sz w:val="18"/>
        </w:rPr>
        <w:t>Lecture 1 — A Structured Approach to Data Analysis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Pick a real public-health dataset and pre-register your research question and analysis plan.</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Pick a publicly available dataset (e.g., CCHS, NHANES, BRFSS, SEER, BC LinkedHub PUF, MIMIC, GHDx).</w:t>
      </w:r>
    </w:p>
    <w:p>
      <w:pPr>
        <w:pStyle w:val="ListBullet"/>
        <w:spacing w:after="40"/>
      </w:pPr>
      <w:r>
        <w:rPr>
          <w:rFonts w:ascii="Open Sans" w:hAnsi="Open Sans" w:cs="Open Sans"/>
          <w:sz w:val="21"/>
        </w:rPr>
        <w:t>Pre-register: research question, primary outcome, primary exposure, candidate confounders.</w:t>
      </w:r>
    </w:p>
    <w:p>
      <w:pPr>
        <w:pStyle w:val="ListBullet"/>
        <w:spacing w:after="40"/>
      </w:pPr>
      <w:r>
        <w:rPr>
          <w:rFonts w:ascii="Open Sans" w:hAnsi="Open Sans" w:cs="Open Sans"/>
          <w:sz w:val="21"/>
        </w:rPr>
        <w:t>Sketch the analysis plan (planned models, sensitivity analyses, multiplicity strategy).</w:t>
      </w:r>
    </w:p>
    <w:p>
      <w:pPr>
        <w:pStyle w:val="ListBullet"/>
        <w:spacing w:after="40"/>
      </w:pPr>
      <w:r>
        <w:rPr>
          <w:rFonts w:ascii="Open Sans" w:hAnsi="Open Sans" w:cs="Open Sans"/>
          <w:sz w:val="21"/>
        </w:rPr>
        <w:t>Submitted as a 2-page proposal.</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set up the structured workflow: question → plan → data → models. Your proposal locks the question before you see the data.</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proposal to Week 2.</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"A Structured Approach to Data Analysis"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Dataset is publicly accessible. Question is answerable with the dataset's variables.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Data Source Proposal + Pre-Registered Plan</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Dataset is publicly accessible.</w:t>
      </w:r>
    </w:p>
    <w:p>
      <w:pPr>
        <w:pStyle w:val="ListBullet"/>
        <w:spacing w:after="40"/>
      </w:pPr>
      <w:r>
        <w:rPr>
          <w:rFonts w:ascii="Open Sans" w:hAnsi="Open Sans" w:cs="Open Sans"/>
          <w:sz w:val="21"/>
        </w:rPr>
        <w:t>Question is answerable with the dataset's variables.</w:t>
      </w:r>
    </w:p>
    <w:p>
      <w:pPr>
        <w:pStyle w:val="ListBullet"/>
        <w:spacing w:after="40"/>
      </w:pPr>
      <w:r>
        <w:rPr>
          <w:rFonts w:ascii="Open Sans" w:hAnsi="Open Sans" w:cs="Open Sans"/>
          <w:sz w:val="21"/>
        </w:rPr>
        <w:t>Pre-registration is dated and specific.</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Reproducible Analytic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02</w:t>
      </w:r>
    </w:p>
    <w:p>
      <w:pPr>
        <w:spacing w:after="40"/>
      </w:pPr>
      <w:r>
        <w:rPr>
          <w:rFonts w:ascii="Open Sans" w:hAnsi="Open Sans" w:cs="Open Sans"/>
          <w:b/>
          <w:color w:val="065C50"/>
          <w:sz w:val="32"/>
        </w:rPr>
        <w:t>Codebook + Table 1</w:t>
      </w:r>
    </w:p>
    <w:p>
      <w:pPr>
        <w:spacing w:after="80"/>
      </w:pPr>
      <w:r>
        <w:rPr>
          <w:rFonts w:ascii="Open Sans" w:hAnsi="Open Sans" w:cs="Open Sans"/>
          <w:i/>
          <w:color w:val="555555"/>
          <w:sz w:val="18"/>
        </w:rPr>
        <w:t>Lecture 2 — Data Cleaning and Descriptive Analyses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Import your data, write a structured codebook, and produce Table 1.</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Import the dataset in R; commit the import script to GitHub.</w:t>
      </w:r>
    </w:p>
    <w:p>
      <w:pPr>
        <w:pStyle w:val="ListBullet"/>
        <w:spacing w:after="40"/>
      </w:pPr>
      <w:r>
        <w:rPr>
          <w:rFonts w:ascii="Open Sans" w:hAnsi="Open Sans" w:cs="Open Sans"/>
          <w:sz w:val="21"/>
        </w:rPr>
        <w:t>Build a codebook: variables used, source, type, missingness pattern, recode decisions.</w:t>
      </w:r>
    </w:p>
    <w:p>
      <w:pPr>
        <w:pStyle w:val="ListBullet"/>
        <w:spacing w:after="40"/>
      </w:pPr>
      <w:r>
        <w:rPr>
          <w:rFonts w:ascii="Open Sans" w:hAnsi="Open Sans" w:cs="Open Sans"/>
          <w:sz w:val="21"/>
        </w:rPr>
        <w:t>Produce a publication-quality Table 1 (descriptives by primary exposure or outcome group).</w:t>
      </w:r>
    </w:p>
    <w:p>
      <w:pPr>
        <w:pStyle w:val="ListBullet"/>
        <w:spacing w:after="40"/>
      </w:pPr>
      <w:r>
        <w:rPr>
          <w:rFonts w:ascii="Open Sans" w:hAnsi="Open Sans" w:cs="Open Sans"/>
          <w:sz w:val="21"/>
        </w:rPr>
        <w:t>Submitted as a knitted PDF + RMD link.</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argued descriptive work is the foundation of credible analysis. Your codebook is the load-bearing document of the term.</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codebook + Table 1 to Week 3.</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"Data Cleaning and Descriptive Analyses"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Codebook is reproducible (someone else could re-derive your dataset). Missingness is documented per variable.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Codebook + Table 1</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Codebook is reproducible (someone else could re-derive your dataset).</w:t>
      </w:r>
    </w:p>
    <w:p>
      <w:pPr>
        <w:pStyle w:val="ListBullet"/>
        <w:spacing w:after="40"/>
      </w:pPr>
      <w:r>
        <w:rPr>
          <w:rFonts w:ascii="Open Sans" w:hAnsi="Open Sans" w:cs="Open Sans"/>
          <w:sz w:val="21"/>
        </w:rPr>
        <w:t>Missingness is documented per variable.</w:t>
      </w:r>
    </w:p>
    <w:p>
      <w:pPr>
        <w:pStyle w:val="ListBullet"/>
        <w:spacing w:after="40"/>
      </w:pPr>
      <w:r>
        <w:rPr>
          <w:rFonts w:ascii="Open Sans" w:hAnsi="Open Sans" w:cs="Open Sans"/>
          <w:sz w:val="21"/>
        </w:rPr>
        <w:t>Table 1 follows STROBE or equivalent conventions.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Reproducible Analytic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03</w:t>
      </w:r>
    </w:p>
    <w:p>
      <w:pPr>
        <w:spacing w:after="40"/>
      </w:pPr>
      <w:r>
        <w:rPr>
          <w:rFonts w:ascii="Open Sans" w:hAnsi="Open Sans" w:cs="Open Sans"/>
          <w:b/>
          <w:color w:val="065C50"/>
          <w:sz w:val="32"/>
        </w:rPr>
        <w:t>First Linear Model</w:t>
      </w:r>
    </w:p>
    <w:p>
      <w:pPr>
        <w:spacing w:after="80"/>
      </w:pPr>
      <w:r>
        <w:rPr>
          <w:rFonts w:ascii="Open Sans" w:hAnsi="Open Sans" w:cs="Open Sans"/>
          <w:i/>
          <w:color w:val="555555"/>
          <w:sz w:val="18"/>
        </w:rPr>
        <w:t>Lecture 3 — Linear Regression</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Fit a linear regression on a continuous outcome (or proxy) with diagnostics.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Fit a linear regression for a continuous outcome from your dataset.</w:t>
      </w:r>
    </w:p>
    <w:p>
      <w:pPr>
        <w:pStyle w:val="ListBullet"/>
        <w:spacing w:after="40"/>
      </w:pPr>
      <w:r>
        <w:rPr>
          <w:rFonts w:ascii="Open Sans" w:hAnsi="Open Sans" w:cs="Open Sans"/>
          <w:sz w:val="21"/>
        </w:rPr>
        <w:t>Run diagnostics: residual plots, QQ plot, leverage, multicollinearity (VIF).</w:t>
      </w:r>
    </w:p>
    <w:p>
      <w:pPr>
        <w:pStyle w:val="ListBullet"/>
        <w:spacing w:after="40"/>
      </w:pPr>
      <w:r>
        <w:rPr>
          <w:rFonts w:ascii="Open Sans" w:hAnsi="Open Sans" w:cs="Open Sans"/>
          <w:sz w:val="21"/>
        </w:rPr>
        <w:t>Interpret coefficients in plain language with 95% CIs.</w:t>
      </w:r>
    </w:p>
    <w:p>
      <w:pPr>
        <w:pStyle w:val="ListBullet"/>
        <w:spacing w:after="40"/>
      </w:pPr>
      <w:r>
        <w:rPr>
          <w:rFonts w:ascii="Open Sans" w:hAnsi="Open Sans" w:cs="Open Sans"/>
          <w:sz w:val="21"/>
        </w:rPr>
        <w:t>Submitted as a knitted PDF + RMD link.</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covered linear regression as the modeling foundation. Get diagnostics right here — every later model builds on this.</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fit + diagnostics to Week 4.</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"Linear Regression"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Diagnostics are run, displayed, and discussed. Plain-language interpretation matches the units of the outcome.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First Linear Model</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Diagnostics are run, displayed, and discussed.</w:t>
      </w:r>
    </w:p>
    <w:p>
      <w:pPr>
        <w:pStyle w:val="ListBullet"/>
        <w:spacing w:after="40"/>
      </w:pPr>
      <w:r>
        <w:rPr>
          <w:rFonts w:ascii="Open Sans" w:hAnsi="Open Sans" w:cs="Open Sans"/>
          <w:sz w:val="21"/>
        </w:rPr>
        <w:t>Plain-language interpretation matches the units of the outcome.</w:t>
      </w:r>
    </w:p>
    <w:p>
      <w:pPr>
        <w:pStyle w:val="ListBullet"/>
        <w:spacing w:after="40"/>
      </w:pPr>
      <w:r>
        <w:rPr>
          <w:rFonts w:ascii="Open Sans" w:hAnsi="Open Sans" w:cs="Open Sans"/>
          <w:sz w:val="21"/>
        </w:rPr>
        <w:t>Code is readable; results are reproducible.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Reproducible Analytic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04</w:t>
      </w:r>
    </w:p>
    <w:p>
      <w:pPr>
        <w:spacing w:after="40"/>
      </w:pPr>
      <w:r>
        <w:rPr>
          <w:rFonts w:ascii="Open Sans" w:hAnsi="Open Sans" w:cs="Open Sans"/>
          <w:b/>
          <w:color w:val="065C50"/>
          <w:sz w:val="32"/>
        </w:rPr>
        <w:t>Model Comparison Memo</w:t>
      </w:r>
    </w:p>
    <w:p>
      <w:pPr>
        <w:spacing w:after="80"/>
      </w:pPr>
      <w:r>
        <w:rPr>
          <w:rFonts w:ascii="Open Sans" w:hAnsi="Open Sans" w:cs="Open Sans"/>
          <w:i/>
          <w:color w:val="555555"/>
          <w:sz w:val="18"/>
        </w:rPr>
        <w:t>Lecture 4 — Model Building Strategies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Compare at least 3 candidate models for your outcome and document selection rationale.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Fit at least 3 candidate model specifications (different covariates, interactions, or functional forms).</w:t>
      </w:r>
    </w:p>
    <w:p>
      <w:pPr>
        <w:pStyle w:val="ListBullet"/>
        <w:spacing w:after="40"/>
      </w:pPr>
      <w:r>
        <w:rPr>
          <w:rFonts w:ascii="Open Sans" w:hAnsi="Open Sans" w:cs="Open Sans"/>
          <w:sz w:val="21"/>
        </w:rPr>
        <w:t>Compare via AIC/BIC, predictive metrics, parameter stability, and substantive defensibility.</w:t>
      </w:r>
    </w:p>
    <w:p>
      <w:pPr>
        <w:pStyle w:val="ListBullet"/>
        <w:spacing w:after="40"/>
      </w:pPr>
      <w:r>
        <w:rPr>
          <w:rFonts w:ascii="Open Sans" w:hAnsi="Open Sans" w:cs="Open Sans"/>
          <w:sz w:val="21"/>
        </w:rPr>
        <w:t>Choose a 'preferred' model with a documented rationale.</w:t>
      </w:r>
    </w:p>
    <w:p>
      <w:pPr>
        <w:pStyle w:val="ListBullet"/>
        <w:spacing w:after="40"/>
      </w:pPr>
      <w:r>
        <w:rPr>
          <w:rFonts w:ascii="Open Sans" w:hAnsi="Open Sans" w:cs="Open Sans"/>
          <w:sz w:val="21"/>
        </w:rPr>
        <w:t>Submitted as a 2-page memo + RMD link.</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insisted that model selection be principled, not aesthetic. Your memo defends the choice you made.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memo to Week 5.</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"Model Building Strategies"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Models are substantively distinct, not trivial perturbations. Selection rationale combines fit, stability, and substantive sense.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Model Comparison Memo</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Models are substantively distinct, not trivial perturbations.</w:t>
      </w:r>
    </w:p>
    <w:p>
      <w:pPr>
        <w:pStyle w:val="ListBullet"/>
        <w:spacing w:after="40"/>
      </w:pPr>
      <w:r>
        <w:rPr>
          <w:rFonts w:ascii="Open Sans" w:hAnsi="Open Sans" w:cs="Open Sans"/>
          <w:sz w:val="21"/>
        </w:rPr>
        <w:t>Selection rationale combines fit, stability, and substantive sense.</w:t>
      </w:r>
    </w:p>
    <w:p>
      <w:pPr>
        <w:pStyle w:val="ListBullet"/>
        <w:spacing w:after="40"/>
      </w:pPr>
      <w:r>
        <w:rPr>
          <w:rFonts w:ascii="Open Sans" w:hAnsi="Open Sans" w:cs="Open Sans"/>
          <w:sz w:val="21"/>
        </w:rPr>
        <w:t>Pre-registered plan and final choice are reconciled (and any divergence flagged).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Reproducible Analytic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05</w:t>
      </w:r>
    </w:p>
    <w:p>
      <w:pPr>
        <w:spacing w:after="40"/>
      </w:pPr>
      <w:r>
        <w:rPr>
          <w:rFonts w:ascii="Open Sans" w:hAnsi="Open Sans" w:cs="Open Sans"/>
          <w:b/>
          <w:color w:val="065C50"/>
          <w:sz w:val="32"/>
        </w:rPr>
        <w:t>Binary Outcome Model</w:t>
      </w:r>
    </w:p>
    <w:p>
      <w:pPr>
        <w:spacing w:after="80"/>
      </w:pPr>
      <w:r>
        <w:rPr>
          <w:rFonts w:ascii="Open Sans" w:hAnsi="Open Sans" w:cs="Open Sans"/>
          <w:i/>
          <w:color w:val="555555"/>
          <w:sz w:val="18"/>
        </w:rPr>
        <w:t>Lecture 5 — Logistic Regression</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Fit and interpret a logistic regression on a binary outcome.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Define a binary outcome from your dataset.</w:t>
      </w:r>
    </w:p>
    <w:p>
      <w:pPr>
        <w:pStyle w:val="ListBullet"/>
        <w:spacing w:after="40"/>
      </w:pPr>
      <w:r>
        <w:rPr>
          <w:rFonts w:ascii="Open Sans" w:hAnsi="Open Sans" w:cs="Open Sans"/>
          <w:sz w:val="21"/>
        </w:rPr>
        <w:t>Fit a logistic regression; report ORs with 95% CIs.</w:t>
      </w:r>
    </w:p>
    <w:p>
      <w:pPr>
        <w:pStyle w:val="ListBullet"/>
        <w:spacing w:after="40"/>
      </w:pPr>
      <w:r>
        <w:rPr>
          <w:rFonts w:ascii="Open Sans" w:hAnsi="Open Sans" w:cs="Open Sans"/>
          <w:sz w:val="21"/>
        </w:rPr>
        <w:t>Assess discrimination (AUC) and calibration.</w:t>
      </w:r>
    </w:p>
    <w:p>
      <w:pPr>
        <w:pStyle w:val="ListBullet"/>
        <w:spacing w:after="40"/>
      </w:pPr>
      <w:r>
        <w:rPr>
          <w:rFonts w:ascii="Open Sans" w:hAnsi="Open Sans" w:cs="Open Sans"/>
          <w:sz w:val="21"/>
        </w:rPr>
        <w:t>Interpret in plain language.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gave you the binary toolbox. Discrimination and calibration are the audit, not the model fit alone.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fit + interpretation to Week 6.</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"Logistic Regression"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OR interpretation distinguishes effects from probabilities. AUC and calibration are reported.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Binary Outcome Model</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OR interpretation distinguishes effects from probabilities.</w:t>
      </w:r>
    </w:p>
    <w:p>
      <w:pPr>
        <w:pStyle w:val="ListBullet"/>
        <w:spacing w:after="40"/>
      </w:pPr>
      <w:r>
        <w:rPr>
          <w:rFonts w:ascii="Open Sans" w:hAnsi="Open Sans" w:cs="Open Sans"/>
          <w:sz w:val="21"/>
        </w:rPr>
        <w:t>AUC and calibration are reported.</w:t>
      </w:r>
    </w:p>
    <w:p>
      <w:pPr>
        <w:pStyle w:val="ListBullet"/>
        <w:spacing w:after="40"/>
      </w:pPr>
      <w:r>
        <w:rPr>
          <w:rFonts w:ascii="Open Sans" w:hAnsi="Open Sans" w:cs="Open Sans"/>
          <w:sz w:val="21"/>
        </w:rPr>
        <w:t>Code is reproducible from the cleaned dataset.</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Reproducible Analytic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06</w:t>
      </w:r>
    </w:p>
    <w:p>
      <w:pPr>
        <w:spacing w:after="40"/>
      </w:pPr>
      <w:r>
        <w:rPr>
          <w:rFonts w:ascii="Open Sans" w:hAnsi="Open Sans" w:cs="Open Sans"/>
          <w:b/>
          <w:color w:val="065C50"/>
          <w:sz w:val="32"/>
        </w:rPr>
        <w:t>Multi-Category Outcome</w:t>
      </w:r>
    </w:p>
    <w:p>
      <w:pPr>
        <w:spacing w:after="80"/>
      </w:pPr>
      <w:r>
        <w:rPr>
          <w:rFonts w:ascii="Open Sans" w:hAnsi="Open Sans" w:cs="Open Sans"/>
          <w:i/>
          <w:color w:val="555555"/>
          <w:sz w:val="18"/>
        </w:rPr>
        <w:t>Lecture 6 — Ordinal and Multinomial Models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Fit an ordinal or multinomial model — or a justified sensitivity analysis.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If your outcome is ordinal/multinomial: fit a proportional-odds or multinomial logit model. Test the proportional-odds assumption where applicable.</w:t>
      </w:r>
    </w:p>
    <w:p>
      <w:pPr>
        <w:pStyle w:val="ListBullet"/>
        <w:spacing w:after="40"/>
      </w:pPr>
      <w:r>
        <w:rPr>
          <w:rFonts w:ascii="Open Sans" w:hAnsi="Open Sans" w:cs="Open Sans"/>
          <w:sz w:val="21"/>
        </w:rPr>
        <w:t>If your outcome is binary or continuous: derive a 3-category recode and fit a sensitivity multinomial.</w:t>
      </w:r>
    </w:p>
    <w:p>
      <w:pPr>
        <w:pStyle w:val="ListBullet"/>
        <w:spacing w:after="40"/>
      </w:pPr>
      <w:r>
        <w:rPr>
          <w:rFonts w:ascii="Open Sans" w:hAnsi="Open Sans" w:cs="Open Sans"/>
          <w:sz w:val="21"/>
        </w:rPr>
        <w:t>Interpret category-specific effects.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extended logistic to ordered and unordered categories. Use it to stress-test your binary findings.</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fit to Week 7.</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"Ordinal and Multinomial Models"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Proportional-odds assumption checked when ordinal. Category-specific effects interpreted in plain language.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Multi-Category Outcome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Proportional-odds assumption checked when ordinal.</w:t>
      </w:r>
    </w:p>
    <w:p>
      <w:pPr>
        <w:pStyle w:val="ListBullet"/>
        <w:spacing w:after="40"/>
      </w:pPr>
      <w:r>
        <w:rPr>
          <w:rFonts w:ascii="Open Sans" w:hAnsi="Open Sans" w:cs="Open Sans"/>
          <w:sz w:val="21"/>
        </w:rPr>
        <w:t>Category-specific effects interpreted in plain language.</w:t>
      </w:r>
    </w:p>
    <w:p>
      <w:pPr>
        <w:pStyle w:val="ListBullet"/>
        <w:spacing w:after="40"/>
      </w:pPr>
      <w:r>
        <w:rPr>
          <w:rFonts w:ascii="Open Sans" w:hAnsi="Open Sans" w:cs="Open Sans"/>
          <w:sz w:val="21"/>
        </w:rPr>
        <w:t>Sensitivity recode (where used) is principled, not ad hoc.</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Reproducible Analytic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07</w:t>
      </w:r>
    </w:p>
    <w:p>
      <w:pPr>
        <w:spacing w:after="40"/>
      </w:pPr>
      <w:r>
        <w:rPr>
          <w:rFonts w:ascii="Open Sans" w:hAnsi="Open Sans" w:cs="Open Sans"/>
          <w:b/>
          <w:color w:val="065C50"/>
          <w:sz w:val="32"/>
        </w:rPr>
        <w:t>Count or Rate Outcome</w:t>
      </w:r>
    </w:p>
    <w:p>
      <w:pPr>
        <w:spacing w:after="80"/>
      </w:pPr>
      <w:r>
        <w:rPr>
          <w:rFonts w:ascii="Open Sans" w:hAnsi="Open Sans" w:cs="Open Sans"/>
          <w:i/>
          <w:color w:val="555555"/>
          <w:sz w:val="18"/>
        </w:rPr>
        <w:t>Lecture 7 — Count and Rate Data</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Analyze a count or rate outcome with appropriate dispersion handling.</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Fit a Poisson and a negative binomial model on a count outcome (derived if needed).</w:t>
      </w:r>
    </w:p>
    <w:p>
      <w:pPr>
        <w:pStyle w:val="ListBullet"/>
        <w:spacing w:after="40"/>
      </w:pPr>
      <w:r>
        <w:rPr>
          <w:rFonts w:ascii="Open Sans" w:hAnsi="Open Sans" w:cs="Open Sans"/>
          <w:sz w:val="21"/>
        </w:rPr>
        <w:t>Test for overdispersion; choose the appropriate model.</w:t>
      </w:r>
    </w:p>
    <w:p>
      <w:pPr>
        <w:pStyle w:val="ListBullet"/>
        <w:spacing w:after="40"/>
      </w:pPr>
      <w:r>
        <w:rPr>
          <w:rFonts w:ascii="Open Sans" w:hAnsi="Open Sans" w:cs="Open Sans"/>
          <w:sz w:val="21"/>
        </w:rPr>
        <w:t>If using rates, include the offset and interpret on the rate scale.</w:t>
      </w:r>
    </w:p>
    <w:p>
      <w:pPr>
        <w:pStyle w:val="ListBullet"/>
        <w:spacing w:after="40"/>
      </w:pPr>
      <w:r>
        <w:rPr>
          <w:rFonts w:ascii="Open Sans" w:hAnsi="Open Sans" w:cs="Open Sans"/>
          <w:sz w:val="21"/>
        </w:rPr>
        <w:t>Submit as a knitted PDF + RMD link.</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made overdispersion visible. Skip the test and you'll under-state uncertainty.</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fit to Week 8.</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"Count and Rate Data"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Overdispersion test reported. Final model justified by the dispersion result.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Count or Rate Outcome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Overdispersion test reported.</w:t>
      </w:r>
    </w:p>
    <w:p>
      <w:pPr>
        <w:pStyle w:val="ListBullet"/>
        <w:spacing w:after="40"/>
      </w:pPr>
      <w:r>
        <w:rPr>
          <w:rFonts w:ascii="Open Sans" w:hAnsi="Open Sans" w:cs="Open Sans"/>
          <w:sz w:val="21"/>
        </w:rPr>
        <w:t>Final model justified by the dispersion result.</w:t>
      </w:r>
    </w:p>
    <w:p>
      <w:pPr>
        <w:pStyle w:val="ListBullet"/>
        <w:spacing w:after="40"/>
      </w:pPr>
      <w:r>
        <w:rPr>
          <w:rFonts w:ascii="Open Sans" w:hAnsi="Open Sans" w:cs="Open Sans"/>
          <w:sz w:val="21"/>
        </w:rPr>
        <w:t>Offsets used correctly when rates are reported.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Reproducible Analytic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08</w:t>
      </w:r>
    </w:p>
    <w:p>
      <w:pPr>
        <w:spacing w:after="40"/>
      </w:pPr>
      <w:r>
        <w:rPr>
          <w:rFonts w:ascii="Open Sans" w:hAnsi="Open Sans" w:cs="Open Sans"/>
          <w:b/>
          <w:color w:val="065C50"/>
          <w:sz w:val="32"/>
        </w:rPr>
        <w:t>Time-to-Event Analysis</w:t>
      </w:r>
    </w:p>
    <w:p>
      <w:pPr>
        <w:spacing w:after="80"/>
      </w:pPr>
      <w:r>
        <w:rPr>
          <w:rFonts w:ascii="Open Sans" w:hAnsi="Open Sans" w:cs="Open Sans"/>
          <w:i/>
          <w:color w:val="555555"/>
          <w:sz w:val="18"/>
        </w:rPr>
        <w:t>Lecture 8 — Survival Data</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Fit a survival model (Cox/KM) — or a justified sensitivity analysis.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If your dataset has time-to-event data: fit a Cox model + KM curves; check proportional-hazards.</w:t>
      </w:r>
    </w:p>
    <w:p>
      <w:pPr>
        <w:pStyle w:val="ListBullet"/>
        <w:spacing w:after="40"/>
      </w:pPr>
      <w:r>
        <w:rPr>
          <w:rFonts w:ascii="Open Sans" w:hAnsi="Open Sans" w:cs="Open Sans"/>
          <w:sz w:val="21"/>
        </w:rPr>
        <w:t>If not: simulate a time-to-event from cross-sectional data using a documented assumption and treat as a sensitivity analysis.</w:t>
      </w:r>
    </w:p>
    <w:p>
      <w:pPr>
        <w:pStyle w:val="ListBullet"/>
        <w:spacing w:after="40"/>
      </w:pPr>
      <w:r>
        <w:rPr>
          <w:rFonts w:ascii="Open Sans" w:hAnsi="Open Sans" w:cs="Open Sans"/>
          <w:sz w:val="21"/>
        </w:rPr>
        <w:t>Interpret HRs with 95% CIs.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showed how time changes interpretation. Even a simulated TTE forces you to be explicit about timing assumptions.</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fit to Week 9.</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"Survival Data"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Proportional hazards checked (Schoenfeld or equivalent). Censoring mechanism named.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Time-to-Event Analysis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Proportional hazards checked (Schoenfeld or equivalent).</w:t>
      </w:r>
    </w:p>
    <w:p>
      <w:pPr>
        <w:pStyle w:val="ListBullet"/>
        <w:spacing w:after="40"/>
      </w:pPr>
      <w:r>
        <w:rPr>
          <w:rFonts w:ascii="Open Sans" w:hAnsi="Open Sans" w:cs="Open Sans"/>
          <w:sz w:val="21"/>
        </w:rPr>
        <w:t>Censoring mechanism named.</w:t>
      </w:r>
    </w:p>
    <w:p>
      <w:pPr>
        <w:pStyle w:val="ListBullet"/>
        <w:spacing w:after="40"/>
      </w:pPr>
      <w:r>
        <w:rPr>
          <w:rFonts w:ascii="Open Sans" w:hAnsi="Open Sans" w:cs="Open Sans"/>
          <w:sz w:val="21"/>
        </w:rPr>
        <w:t>HR interpretation is on the hazard scale, not the probability scale.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Reproducible Analytic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09</w:t>
      </w:r>
    </w:p>
    <w:p>
      <w:pPr>
        <w:spacing w:after="40"/>
      </w:pPr>
      <w:r>
        <w:rPr>
          <w:rFonts w:ascii="Open Sans" w:hAnsi="Open Sans" w:cs="Open Sans"/>
          <w:b/>
          <w:color w:val="065C50"/>
          <w:sz w:val="32"/>
        </w:rPr>
        <w:t>Clustering Audit</w:t>
      </w:r>
    </w:p>
    <w:p>
      <w:pPr>
        <w:spacing w:after="80"/>
      </w:pPr>
      <w:r>
        <w:rPr>
          <w:rFonts w:ascii="Open Sans" w:hAnsi="Open Sans" w:cs="Open Sans"/>
          <w:i/>
          <w:color w:val="555555"/>
          <w:sz w:val="18"/>
        </w:rPr>
        <w:t>Lecture 9 — Introduction to Clustered Data</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Identify clustering in your dataset and assess its design-effect implications.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Identify any clustering in your data (geography, household, clinic, school, time).</w:t>
      </w:r>
    </w:p>
    <w:p>
      <w:pPr>
        <w:pStyle w:val="ListBullet"/>
        <w:spacing w:after="40"/>
      </w:pPr>
      <w:r>
        <w:rPr>
          <w:rFonts w:ascii="Open Sans" w:hAnsi="Open Sans" w:cs="Open Sans"/>
          <w:sz w:val="21"/>
        </w:rPr>
        <w:t>Estimate the intraclass correlation (ICC) and design effect.</w:t>
      </w:r>
    </w:p>
    <w:p>
      <w:pPr>
        <w:pStyle w:val="ListBullet"/>
        <w:spacing w:after="40"/>
      </w:pPr>
      <w:r>
        <w:rPr>
          <w:rFonts w:ascii="Open Sans" w:hAnsi="Open Sans" w:cs="Open Sans"/>
          <w:sz w:val="21"/>
        </w:rPr>
        <w:t>Discuss whether your prior models under-state uncertainty.</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showed clustering as a feature of the design, not the model. Audit before you re-fit.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audit to Week 10.</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"Introduction to Clustered Data"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Clustering source identified, with rationale. ICC estimated (or honestly bounded if estimation isn't possible).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Clustering Audit</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Clustering source identified, with rationale.</w:t>
      </w:r>
    </w:p>
    <w:p>
      <w:pPr>
        <w:pStyle w:val="ListBullet"/>
        <w:spacing w:after="40"/>
      </w:pPr>
      <w:r>
        <w:rPr>
          <w:rFonts w:ascii="Open Sans" w:hAnsi="Open Sans" w:cs="Open Sans"/>
          <w:sz w:val="21"/>
        </w:rPr>
        <w:t>ICC estimated (or honestly bounded if estimation isn't possible).</w:t>
      </w:r>
    </w:p>
    <w:p>
      <w:pPr>
        <w:pStyle w:val="ListBullet"/>
        <w:spacing w:after="40"/>
      </w:pPr>
      <w:r>
        <w:rPr>
          <w:rFonts w:ascii="Open Sans" w:hAnsi="Open Sans" w:cs="Open Sans"/>
          <w:sz w:val="21"/>
        </w:rPr>
        <w:t>Implication for prior models is named.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Reproducible Analytic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10</w:t>
      </w:r>
    </w:p>
    <w:p>
      <w:pPr>
        <w:spacing w:after="40"/>
      </w:pPr>
      <w:r>
        <w:rPr>
          <w:rFonts w:ascii="Open Sans" w:hAnsi="Open Sans" w:cs="Open Sans"/>
          <w:b/>
          <w:color w:val="065C50"/>
          <w:sz w:val="32"/>
        </w:rPr>
        <w:t>Random-Effects Continuous Model</w:t>
      </w:r>
    </w:p>
    <w:p>
      <w:pPr>
        <w:spacing w:after="80"/>
      </w:pPr>
      <w:r>
        <w:rPr>
          <w:rFonts w:ascii="Open Sans" w:hAnsi="Open Sans" w:cs="Open Sans"/>
          <w:i/>
          <w:color w:val="555555"/>
          <w:sz w:val="18"/>
        </w:rPr>
        <w:t>Lecture 10 — Mixed Models for Continuous Data</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Refit your continuous outcome with a mixed-effects model and compare to fixed-only.</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Refit your Week 3 / Week 4 model as a linear mixed model with appropriate random effects.</w:t>
      </w:r>
    </w:p>
    <w:p>
      <w:pPr>
        <w:pStyle w:val="ListBullet"/>
        <w:spacing w:after="40"/>
      </w:pPr>
      <w:r>
        <w:rPr>
          <w:rFonts w:ascii="Open Sans" w:hAnsi="Open Sans" w:cs="Open Sans"/>
          <w:sz w:val="21"/>
        </w:rPr>
        <w:t>Compare estimates and SEs to the fixed-effects-only version.</w:t>
      </w:r>
    </w:p>
    <w:p>
      <w:pPr>
        <w:pStyle w:val="ListBullet"/>
        <w:spacing w:after="40"/>
      </w:pPr>
      <w:r>
        <w:rPr>
          <w:rFonts w:ascii="Open Sans" w:hAnsi="Open Sans" w:cs="Open Sans"/>
          <w:sz w:val="21"/>
        </w:rPr>
        <w:t>Report and interpret variance components.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made random effects the natural home for clustered continuous outcomes. See how SEs change.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fit to Week 11.</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"Mixed Models for Continuous Data"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Random-effects structure matches the clustering audit. Variance components interpreted.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Random-Effects Continuous Model</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Random-effects structure matches the clustering audit.</w:t>
      </w:r>
    </w:p>
    <w:p>
      <w:pPr>
        <w:pStyle w:val="ListBullet"/>
        <w:spacing w:after="40"/>
      </w:pPr>
      <w:r>
        <w:rPr>
          <w:rFonts w:ascii="Open Sans" w:hAnsi="Open Sans" w:cs="Open Sans"/>
          <w:sz w:val="21"/>
        </w:rPr>
        <w:t>Variance components interpreted.</w:t>
      </w:r>
    </w:p>
    <w:p>
      <w:pPr>
        <w:pStyle w:val="ListBullet"/>
        <w:spacing w:after="40"/>
      </w:pPr>
      <w:r>
        <w:rPr>
          <w:rFonts w:ascii="Open Sans" w:hAnsi="Open Sans" w:cs="Open Sans"/>
          <w:sz w:val="21"/>
        </w:rPr>
        <w:t>Comparison vs. fixed-only is honest about what changed.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Reproducible Analytic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11</w:t>
      </w:r>
    </w:p>
    <w:p>
      <w:pPr>
        <w:spacing w:after="40"/>
      </w:pPr>
      <w:r>
        <w:rPr>
          <w:rFonts w:ascii="Open Sans" w:hAnsi="Open Sans" w:cs="Open Sans"/>
          <w:b/>
          <w:color w:val="065C50"/>
          <w:sz w:val="32"/>
        </w:rPr>
        <w:t>GLMM</w:t>
      </w:r>
    </w:p>
    <w:p>
      <w:pPr>
        <w:spacing w:after="80"/>
      </w:pPr>
      <w:r>
        <w:rPr>
          <w:rFonts w:ascii="Open Sans" w:hAnsi="Open Sans" w:cs="Open Sans"/>
          <w:i/>
          <w:color w:val="555555"/>
          <w:sz w:val="18"/>
        </w:rPr>
        <w:t>Lecture 11 — Mixed Models for Discrete Data</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Refit your binary or count outcome as a generalized linear mixed model.</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Refit your Week 5 / Week 7 model as a GLMM.</w:t>
      </w:r>
    </w:p>
    <w:p>
      <w:pPr>
        <w:pStyle w:val="ListBullet"/>
        <w:spacing w:after="40"/>
      </w:pPr>
      <w:r>
        <w:rPr>
          <w:rFonts w:ascii="Open Sans" w:hAnsi="Open Sans" w:cs="Open Sans"/>
          <w:sz w:val="21"/>
        </w:rPr>
        <w:t>Discuss conditional vs. marginal interpretation.</w:t>
      </w:r>
    </w:p>
    <w:p>
      <w:pPr>
        <w:pStyle w:val="ListBullet"/>
        <w:spacing w:after="40"/>
      </w:pPr>
      <w:r>
        <w:rPr>
          <w:rFonts w:ascii="Open Sans" w:hAnsi="Open Sans" w:cs="Open Sans"/>
          <w:sz w:val="21"/>
        </w:rPr>
        <w:t>Report convergence diagnostics.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introduced GLMMs and the conditional-vs-marginal distinction — a common interpretive error.</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fit to Week 12.</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"Mixed Models for Discrete Data"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Conditional vs. marginal language is correct. Convergence diagnostics reported.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GLMM</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Conditional vs. marginal language is correct.</w:t>
      </w:r>
    </w:p>
    <w:p>
      <w:pPr>
        <w:pStyle w:val="ListBullet"/>
        <w:spacing w:after="40"/>
      </w:pPr>
      <w:r>
        <w:rPr>
          <w:rFonts w:ascii="Open Sans" w:hAnsi="Open Sans" w:cs="Open Sans"/>
          <w:sz w:val="21"/>
        </w:rPr>
        <w:t>Convergence diagnostics reported.</w:t>
      </w:r>
    </w:p>
    <w:p>
      <w:pPr>
        <w:pStyle w:val="ListBullet"/>
        <w:spacing w:after="40"/>
      </w:pPr>
      <w:r>
        <w:rPr>
          <w:rFonts w:ascii="Open Sans" w:hAnsi="Open Sans" w:cs="Open Sans"/>
          <w:sz w:val="21"/>
        </w:rPr>
        <w:t>Comparison vs. fixed-only is honest.</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Reproducible Analytic Paper.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FINAL · WEEK 12</w:t>
      </w:r>
    </w:p>
    <w:p>
      <w:pPr>
        <w:spacing w:after="40"/>
      </w:pPr>
      <w:r>
        <w:rPr>
          <w:rFonts w:ascii="Open Sans" w:hAnsi="Open Sans" w:cs="Open Sans"/>
          <w:b/>
          <w:color w:val="065C50"/>
          <w:sz w:val="32"/>
        </w:rPr>
      </w:r>
      <w:r>
        <w:rPr>
          <w:rFonts w:ascii="Open Sans" w:hAnsi="Open Sans"/>
          <w:b/>
          <w:color w:val="CC0033"/>
          <w:sz w:val="32"/>
        </w:rPr>
        <w:t>FINAL — Reproducible Analytic Paper</w:t>
      </w:r>
    </w:p>
    <w:p>
      <w:pPr>
        <w:spacing w:before="160" w:after="40"/>
        <w:outlineLvl w:val="2"/>
      </w:pPr>
      <w:r>
        <w:rPr>
          <w:rFonts w:ascii="Open Sans" w:hAnsi="Open Sans" w:cs="Open Sans"/>
          <w:b/>
          <w:color w:val="042A25"/>
          <w:sz w:val="22"/>
        </w:rPr>
        <w:t>Brief</w:t>
      </w:r>
    </w:p>
    <w:p>
      <w:pPr>
        <w:spacing w:after="40"/>
      </w:pPr>
      <w:r>
        <w:rPr>
          <w:rFonts w:ascii="Open Sans" w:hAnsi="Open Sans"/>
          <w:b/>
          <w:color w:val="042A25"/>
          <w:sz w:val="21"/>
        </w:rPr>
        <w:t>What to submit</w:t>
      </w:r>
    </w:p>
    <w:p>
      <w:pPr>
        <w:pStyle w:val="ListBullet"/>
        <w:spacing w:after="40"/>
      </w:pPr>
      <w:r>
        <w:rPr>
          <w:rFonts w:ascii="Open Sans" w:hAnsi="Open Sans"/>
          <w:sz w:val="21"/>
        </w:rPr>
        <w:t>10–15 page reproducible analytic paper with introduction, pre-registration statement, data, methods, results, discussion, limitations, and reproducibility appendix.</w:t>
      </w:r>
    </w:p>
    <w:p>
      <w:pPr>
        <w:pStyle w:val="ListBullet"/>
        <w:spacing w:after="40"/>
      </w:pPr>
      <w:r>
        <w:rPr>
          <w:rFonts w:ascii="Open Sans" w:hAnsi="Open Sans"/>
          <w:sz w:val="21"/>
        </w:rPr>
        <w:t>Public GitHub repository: README, derivation script (or de-identified data), all analysis RMarkdown, knitted output, .gitignore for raw data.</w:t>
      </w:r>
    </w:p>
    <w:p>
      <w:pPr>
        <w:pStyle w:val="ListBullet"/>
        <w:spacing w:after="40"/>
      </w:pPr>
      <w:r>
        <w:rPr>
          <w:rFonts w:ascii="Open Sans" w:hAnsi="Open Sans"/>
          <w:sz w:val="21"/>
        </w:rPr>
        <w:t>1-page reflection on what the data did and did not let you say.</w:t>
      </w:r>
    </w:p>
    <w:p>
      <w:pPr>
        <w:pStyle w:val="ListBullet"/>
        <w:spacing w:after="40"/>
      </w:pPr>
      <w:r>
        <w:rPr>
          <w:rFonts w:ascii="Open Sans" w:hAnsi="Open Sans"/>
          <w:sz w:val="21"/>
        </w:rPr>
        <w:t>Appendix integrating all 11 weekly milestones, refined.</w:t>
      </w:r>
    </w:p>
    <w:p>
      <w:pPr>
        <w:spacing w:after="40"/>
      </w:pPr>
      <w:r>
        <w:rPr>
          <w:rFonts w:ascii="Open Sans" w:hAnsi="Open Sans"/>
          <w:b/>
          <w:color w:val="042A25"/>
          <w:sz w:val="21"/>
        </w:rPr>
        <w:t>Why this week</w:t>
      </w:r>
    </w:p>
    <w:p>
      <w:pPr>
        <w:spacing w:after="120"/>
      </w:pPr>
      <w:r>
        <w:rPr>
          <w:rFonts w:ascii="Open Sans" w:hAnsi="Open Sans"/>
          <w:color w:val="042A25"/>
          <w:sz w:val="21"/>
        </w:rPr>
        <w:t>Final week consolidates the term. Your repo and paper together must let a second analyst re-run your analysis end-to-end.</w:t>
      </w:r>
    </w:p>
    <w:p>
      <w:pPr>
        <w:spacing w:after="40"/>
      </w:pPr>
      <w:r>
        <w:rPr>
          <w:rFonts w:ascii="Open Sans" w:hAnsi="Open Sans"/>
          <w:b/>
          <w:color w:val="042A25"/>
          <w:sz w:val="21"/>
        </w:rPr>
        <w:t>Due</w:t>
      </w:r>
    </w:p>
    <w:p>
      <w:pPr>
        <w:spacing w:after="120"/>
      </w:pPr>
      <w:r>
        <w:rPr>
          <w:rFonts w:ascii="Open Sans" w:hAnsi="Open Sans"/>
          <w:color w:val="042A25"/>
          <w:sz w:val="21"/>
        </w:rPr>
        <w:t>End of term, before the peer-review window opens.</w:t>
      </w:r>
    </w:p>
    <w:p>
      <w:pPr>
        <w:spacing w:before="160" w:after="40"/>
        <w:outlineLvl w:val="2"/>
      </w:pPr>
      <w:r>
        <w:rPr>
          <w:rFonts w:ascii="Open Sans" w:hAnsi="Open Sans" w:cs="Open Sans"/>
          <w:b/>
          <w:color w:val="042A25"/>
          <w:sz w:val="22"/>
        </w:rPr>
        <w:t>Rubric</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“Repeated Measures Data”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Repo runs end-to-end on a fresh clone. Pre-registered plan vs. final analysis is reconciled. Repeated-measures component (or its principled absence) is integrated, not stapled.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FINAL: Reproducible Analytic Paper</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r>
        <w:br w:type="page"/>
      </w:r>
    </w:p>
    <w:p>
      <w:pPr>
        <w:spacing w:after="120"/>
      </w:pPr>
      <w:r>
        <w:rPr>
          <w:rFonts w:ascii="Open Sans" w:hAnsi="Open Sans"/>
          <w:i/>
          <w:color w:val="555555"/>
          <w:sz w:val="21"/>
        </w:rPr>
        <w:t>This milestone is the final integrated paper itself. It is marked using the Final Deliverable Rubric in Part 4 of this document — 25 marks total. No additional weekly 5-mark check.</w:t>
      </w:r>
    </w:p>
    <w:p>
      <w:pPr>
        <w:spacing w:before="320" w:after="120"/>
        <w:outlineLvl w:val="0"/>
      </w:pPr>
      <w:r>
        <w:rPr>
          <w:rFonts w:ascii="Open Sans" w:hAnsi="Open Sans" w:cs="Open Sans"/>
          <w:b/>
          <w:color w:val="065C50"/>
          <w:sz w:val="36"/>
        </w:rPr>
        <w:t>PART 3 — Final integrated deliverable</w:t>
      </w:r>
    </w:p>
    <w:p>
      <w:pPr>
        <w:spacing w:after="40"/>
      </w:pPr>
      <w:r>
        <w:rPr>
          <w:rFonts w:ascii="Open Sans" w:hAnsi="Open Sans" w:cs="Open Sans"/>
          <w:b w:val="0"/>
          <w:i/>
          <w:color w:val="555555"/>
          <w:sz w:val="21"/>
        </w:rPr>
        <w:t>Final reproducible analytic paper — exemplar / template outline</w:t>
      </w:r>
    </w:p>
    <w:p>
      <w:pPr>
        <w:spacing w:after="80"/>
      </w:pPr>
      <w:r>
        <w:rPr>
          <w:rFonts w:ascii="Open Sans" w:hAnsi="Open Sans" w:cs="Open Sans"/>
          <w:i/>
          <w:color w:val="555555"/>
          <w:sz w:val="18"/>
        </w:rPr>
        <w:t>Use this outline as a starting point. You may reorganize sections, but cover all the topics below.</w:t>
      </w:r>
    </w:p>
    <w:p>
      <w:pPr>
        <w:spacing w:before="200" w:after="80"/>
        <w:outlineLvl w:val="1"/>
      </w:pPr>
      <w:r>
        <w:rPr>
          <w:rFonts w:ascii="Open Sans" w:hAnsi="Open Sans" w:cs="Open Sans"/>
          <w:b/>
          <w:color w:val="065C50"/>
          <w:sz w:val="26"/>
        </w:rPr>
        <w:t>Template outline</w:t>
      </w:r>
    </w:p>
    <w:p>
      <w:pPr>
        <w:spacing w:after="120"/>
      </w:pPr>
      <w:r>
        <w:rPr>
          <w:rFonts w:ascii="Open Sans" w:hAnsi="Open Sans" w:cs="Open Sans"/>
          <w:b w:val="0"/>
          <w:i w:val="0"/>
          <w:sz w:val="21"/>
        </w:rPr>
        <w:t>HSCI 410 — Applied Public Health Data Analysis in R  ·  Final deliverable</w:t>
      </w:r>
    </w:p>
    <w:p>
      <w:pPr>
        <w:spacing w:after="40"/>
      </w:pPr>
      <w:r>
        <w:rPr>
          <w:rFonts w:ascii="Open Sans" w:hAnsi="Open Sans" w:cs="Open Sans"/>
          <w:b/>
          <w:i w:val="0"/>
          <w:color w:val="065C50"/>
          <w:sz w:val="22"/>
        </w:rPr>
        <w:t>1. Introduction</w:t>
      </w:r>
    </w:p>
    <w:p>
      <w:pPr>
        <w:spacing w:after="120"/>
      </w:pPr>
      <w:r>
        <w:rPr>
          <w:rFonts w:ascii="Open Sans" w:hAnsi="Open Sans" w:cs="Open Sans"/>
          <w:b w:val="0"/>
          <w:i w:val="0"/>
          <w:sz w:val="21"/>
        </w:rPr>
        <w:t>Public-health question, motivation, contribution to existing literature.</w:t>
      </w:r>
    </w:p>
    <w:p>
      <w:pPr>
        <w:spacing w:after="40"/>
      </w:pPr>
      <w:r>
        <w:rPr>
          <w:rFonts w:ascii="Open Sans" w:hAnsi="Open Sans" w:cs="Open Sans"/>
          <w:b/>
          <w:i w:val="0"/>
          <w:color w:val="065C50"/>
          <w:sz w:val="22"/>
        </w:rPr>
        <w:t>2. Pre-registration statement</w:t>
      </w:r>
    </w:p>
    <w:p>
      <w:pPr>
        <w:spacing w:after="120"/>
      </w:pPr>
      <w:r>
        <w:rPr>
          <w:rFonts w:ascii="Open Sans" w:hAnsi="Open Sans" w:cs="Open Sans"/>
          <w:b w:val="0"/>
          <w:i w:val="0"/>
          <w:sz w:val="21"/>
        </w:rPr>
        <w:t>Date the question, primary outcome, exposure, and analysis plan were pre-registered. Note any deviations and why.</w:t>
      </w:r>
    </w:p>
    <w:p>
      <w:pPr>
        <w:spacing w:after="40"/>
      </w:pPr>
      <w:r>
        <w:rPr>
          <w:rFonts w:ascii="Open Sans" w:hAnsi="Open Sans" w:cs="Open Sans"/>
          <w:b/>
          <w:i w:val="0"/>
          <w:color w:val="065C50"/>
          <w:sz w:val="22"/>
        </w:rPr>
        <w:t>3. Data</w:t>
      </w:r>
    </w:p>
    <w:p>
      <w:pPr>
        <w:spacing w:after="120"/>
      </w:pPr>
      <w:r>
        <w:rPr>
          <w:rFonts w:ascii="Open Sans" w:hAnsi="Open Sans" w:cs="Open Sans"/>
          <w:b w:val="0"/>
          <w:i w:val="0"/>
          <w:sz w:val="21"/>
        </w:rPr>
        <w:t>Source, access, sample, codebook (or codebook appendix link), Table 1.</w:t>
      </w:r>
    </w:p>
    <w:p>
      <w:pPr>
        <w:spacing w:after="40"/>
      </w:pPr>
      <w:r>
        <w:rPr>
          <w:rFonts w:ascii="Open Sans" w:hAnsi="Open Sans" w:cs="Open Sans"/>
          <w:b/>
          <w:i w:val="0"/>
          <w:color w:val="065C50"/>
          <w:sz w:val="22"/>
        </w:rPr>
        <w:t>4. Methods</w:t>
      </w:r>
    </w:p>
    <w:p>
      <w:pPr>
        <w:spacing w:after="120"/>
      </w:pPr>
      <w:r>
        <w:rPr>
          <w:rFonts w:ascii="Open Sans" w:hAnsi="Open Sans" w:cs="Open Sans"/>
          <w:b w:val="0"/>
          <w:i w:val="0"/>
          <w:sz w:val="21"/>
        </w:rPr>
        <w:t>Pre-specified primary analysis. Sensitivity analyses. Software &amp; package versions.</w:t>
      </w:r>
    </w:p>
    <w:p>
      <w:pPr>
        <w:spacing w:after="40"/>
      </w:pPr>
      <w:r>
        <w:rPr>
          <w:rFonts w:ascii="Open Sans" w:hAnsi="Open Sans" w:cs="Open Sans"/>
          <w:b/>
          <w:i w:val="0"/>
          <w:color w:val="065C50"/>
          <w:sz w:val="22"/>
        </w:rPr>
        <w:t>5. Results</w:t>
      </w:r>
    </w:p>
    <w:p>
      <w:pPr>
        <w:spacing w:after="120"/>
      </w:pPr>
      <w:r>
        <w:rPr>
          <w:rFonts w:ascii="Open Sans" w:hAnsi="Open Sans" w:cs="Open Sans"/>
          <w:b w:val="0"/>
          <w:i w:val="0"/>
          <w:sz w:val="21"/>
        </w:rPr>
        <w:t>Primary results. Coefficient tables with 95% CIs. Diagnostic figures. Sensitivity analyses.</w:t>
      </w:r>
    </w:p>
    <w:p>
      <w:pPr>
        <w:spacing w:after="40"/>
      </w:pPr>
      <w:r>
        <w:rPr>
          <w:rFonts w:ascii="Open Sans" w:hAnsi="Open Sans" w:cs="Open Sans"/>
          <w:b/>
          <w:i w:val="0"/>
          <w:color w:val="065C50"/>
          <w:sz w:val="22"/>
        </w:rPr>
        <w:t>6. Discussion</w:t>
      </w:r>
    </w:p>
    <w:p>
      <w:pPr>
        <w:spacing w:after="120"/>
      </w:pPr>
      <w:r>
        <w:rPr>
          <w:rFonts w:ascii="Open Sans" w:hAnsi="Open Sans" w:cs="Open Sans"/>
          <w:b w:val="0"/>
          <w:i w:val="0"/>
          <w:sz w:val="21"/>
        </w:rPr>
        <w:t>What the data support and do not support. Comparison to existing literature.</w:t>
      </w:r>
    </w:p>
    <w:p>
      <w:pPr>
        <w:spacing w:after="40"/>
      </w:pPr>
      <w:r>
        <w:rPr>
          <w:rFonts w:ascii="Open Sans" w:hAnsi="Open Sans" w:cs="Open Sans"/>
          <w:b/>
          <w:i w:val="0"/>
          <w:color w:val="065C50"/>
          <w:sz w:val="22"/>
        </w:rPr>
        <w:t>7. Limitations</w:t>
      </w:r>
    </w:p>
    <w:p>
      <w:pPr>
        <w:spacing w:after="120"/>
      </w:pPr>
      <w:r>
        <w:rPr>
          <w:rFonts w:ascii="Open Sans" w:hAnsi="Open Sans" w:cs="Open Sans"/>
          <w:b w:val="0"/>
          <w:i w:val="0"/>
          <w:sz w:val="21"/>
        </w:rPr>
        <w:t>Specific to your dataset and analytic choices.</w:t>
      </w:r>
    </w:p>
    <w:p>
      <w:pPr>
        <w:spacing w:after="40"/>
      </w:pPr>
      <w:r>
        <w:rPr>
          <w:rFonts w:ascii="Open Sans" w:hAnsi="Open Sans" w:cs="Open Sans"/>
          <w:b/>
          <w:i w:val="0"/>
          <w:color w:val="065C50"/>
          <w:sz w:val="22"/>
        </w:rPr>
        <w:t>8. Reproducibility appendix</w:t>
      </w:r>
    </w:p>
    <w:p>
      <w:pPr>
        <w:spacing w:after="120"/>
      </w:pPr>
      <w:r>
        <w:rPr>
          <w:rFonts w:ascii="Open Sans" w:hAnsi="Open Sans" w:cs="Open Sans"/>
          <w:b w:val="0"/>
          <w:i w:val="0"/>
          <w:sz w:val="21"/>
        </w:rPr>
        <w:t>Repo link, knit instructions, system info, package versions, git commit hash of the submitted version.</w:t>
      </w:r>
    </w:p>
    <w:p>
      <w:pPr>
        <w:spacing w:after="40"/>
      </w:pPr>
      <w:r>
        <w:rPr>
          <w:rFonts w:ascii="Open Sans" w:hAnsi="Open Sans" w:cs="Open Sans"/>
          <w:b/>
          <w:i w:val="0"/>
          <w:color w:val="065C50"/>
          <w:sz w:val="22"/>
        </w:rPr>
        <w:t>Repository (separate)</w:t>
      </w:r>
    </w:p>
    <w:p>
      <w:pPr>
        <w:spacing w:after="120"/>
      </w:pPr>
      <w:r>
        <w:rPr>
          <w:rFonts w:ascii="Open Sans" w:hAnsi="Open Sans" w:cs="Open Sans"/>
          <w:b w:val="0"/>
          <w:i w:val="0"/>
          <w:sz w:val="21"/>
        </w:rPr>
        <w:t>Public GitHub repo with README, derivation script (or de-identified data), all analysis RMD, knitted output, .gitignore for raw data.</w:t>
      </w:r>
    </w:p>
    <w:p>
      <w:pPr>
        <w:spacing w:after="40"/>
      </w:pPr>
      <w:r>
        <w:rPr>
          <w:rFonts w:ascii="Open Sans" w:hAnsi="Open Sans" w:cs="Open Sans"/>
          <w:b/>
          <w:i w:val="0"/>
          <w:color w:val="065C50"/>
          <w:sz w:val="22"/>
        </w:rPr>
        <w:t>1-page reflection</w:t>
      </w:r>
    </w:p>
    <w:p>
      <w:pPr>
        <w:spacing w:after="120"/>
      </w:pPr>
      <w:r>
        <w:rPr>
          <w:rFonts w:ascii="Open Sans" w:hAnsi="Open Sans" w:cs="Open Sans"/>
          <w:b w:val="0"/>
          <w:i w:val="0"/>
          <w:sz w:val="21"/>
        </w:rPr>
        <w:t>What the data did and did not let you say.</w:t>
      </w:r>
    </w:p>
    <w:p>
      <w:pPr>
        <w:spacing w:before="200" w:after="80"/>
        <w:outlineLvl w:val="1"/>
      </w:pPr>
      <w:r>
        <w:rPr>
          <w:rFonts w:ascii="Open Sans" w:hAnsi="Open Sans" w:cs="Open Sans"/>
          <w:b/>
          <w:color w:val="065C50"/>
          <w:sz w:val="26"/>
        </w:rPr>
        <w:t>Submission checklist</w:t>
      </w:r>
    </w:p>
    <w:p>
      <w:pPr>
        <w:pStyle w:val="ListBullet"/>
        <w:spacing w:after="40"/>
      </w:pPr>
      <w:r>
        <w:rPr>
          <w:rFonts w:ascii="Open Sans" w:hAnsi="Open Sans" w:cs="Open Sans"/>
          <w:sz w:val="21"/>
        </w:rPr>
        <w:t>All 12 weekly milestones integrated (not stapled).</w:t>
      </w:r>
    </w:p>
    <w:p>
      <w:pPr>
        <w:pStyle w:val="ListBullet"/>
        <w:spacing w:after="40"/>
      </w:pPr>
      <w:r>
        <w:rPr>
          <w:rFonts w:ascii="Open Sans" w:hAnsi="Open Sans" w:cs="Open Sans"/>
          <w:sz w:val="21"/>
        </w:rPr>
        <w:t>References in a consistent style (APA-7, AMA, or Vancouver — pick one).</w:t>
      </w:r>
    </w:p>
    <w:p>
      <w:pPr>
        <w:pStyle w:val="ListBullet"/>
        <w:spacing w:after="40"/>
      </w:pPr>
      <w:r>
        <w:rPr>
          <w:rFonts w:ascii="Open Sans" w:hAnsi="Open Sans" w:cs="Open Sans"/>
          <w:sz w:val="21"/>
        </w:rPr>
        <w:t>Page count: see master brief.</w:t>
      </w:r>
    </w:p>
    <w:p>
      <w:pPr>
        <w:pStyle w:val="ListBullet"/>
        <w:spacing w:after="40"/>
      </w:pPr>
      <w:r>
        <w:rPr>
          <w:rFonts w:ascii="Open Sans" w:hAnsi="Open Sans" w:cs="Open Sans"/>
          <w:sz w:val="21"/>
        </w:rPr>
        <w:t>AI-tool disclosure on cover page.</w:t>
      </w:r>
    </w:p>
    <w:p>
      <w:pPr>
        <w:pStyle w:val="ListBullet"/>
        <w:spacing w:after="40"/>
      </w:pPr>
      <w:r>
        <w:rPr>
          <w:rFonts w:ascii="Open Sans" w:hAnsi="Open Sans" w:cs="Open Sans"/>
          <w:sz w:val="21"/>
        </w:rPr>
        <w:t>Peer-review partner identified.</w:t>
      </w:r>
    </w:p>
    <w:p>
      <w:pPr>
        <w:spacing w:before="320" w:after="120"/>
        <w:outlineLvl w:val="0"/>
      </w:pPr>
      <w:r>
        <w:rPr>
          <w:rFonts w:ascii="Open Sans" w:hAnsi="Open Sans" w:cs="Open Sans"/>
          <w:b/>
          <w:color w:val="065C50"/>
          <w:sz w:val="36"/>
        </w:rPr>
        <w:t>PART 4 — Final deliverable rubric</w:t>
      </w:r>
    </w:p>
    <w:p>
      <w:pPr>
        <w:spacing w:after="120"/>
      </w:pPr>
      <w:r>
        <w:rPr>
          <w:rFonts w:ascii="Open Sans" w:hAnsi="Open Sans" w:cs="Open Sans"/>
          <w:b w:val="0"/>
          <w:i/>
          <w:color w:val="555555"/>
          <w:sz w:val="21"/>
        </w:rPr>
        <w:t>The final integrated deliverable is worth 25% of the course grade. It is marked out of 25 using the criteria below. Peer review of one classmate's deliverable adds a further 5%.</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Integration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All twelve weekly milestones are integrated into a coherent whole — not stapled. Connections between sections are explicit; the reader can follow the analytic arc from question to conclusion.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Methodological rigour</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Choices about design, measurement, analysis, or interpretation are justified against alternatives. Threats to validity are named and addressed; uncertainty is calibrated.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real, named sources. Citation style is consistent (APA-7 / AMA / Vancouver). Where data are used, provenance and access are documented.</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5</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transparency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 second reader could reproduce the search, the analysis, or the appraisal from what is documented. Methods, materials, and decisions are visible.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Communication &amp; calibration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Writing is clear, audience-appropriate, and free of jargon overuse. Conclusions are calibrated to the strength of evidence — neither overclaiming nor under-selling.</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Final integrated deliverable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25</w:t>
            </w:r>
          </w:p>
        </w:tc>
      </w:tr>
    </w:tbl>
    <w:p>
      <w:pPr>
        <w:spacing w:after="40"/>
      </w:pPr>
      <w:r>
        <w:rPr>
          <w:rFonts w:ascii="Open Sans" w:hAnsi="Open Sans" w:cs="Open Sans"/>
          <w:b/>
          <w:i w:val="0"/>
          <w:color w:val="042A25"/>
          <w:sz w:val="22"/>
        </w:rPr>
        <w:t>Peer review (5%)</w:t>
      </w:r>
    </w:p>
    <w:p>
      <w:pPr>
        <w:spacing w:after="120"/>
      </w:pPr>
      <w:r>
        <w:rPr>
          <w:rFonts w:ascii="Open Sans" w:hAnsi="Open Sans" w:cs="Open Sans"/>
          <w:b w:val="0"/>
          <w:i w:val="0"/>
          <w:sz w:val="21"/>
        </w:rPr>
        <w:t>Marked on the quality of the review you provide, not the score you give. Use the peer-review template provided. Constructive, specific, and actionable feedback earns full marks.</w:t>
      </w:r>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Open Sans" w:hAnsi="Open San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