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130 — Foundations of Health Science</w:t>
      </w:r>
    </w:p>
    <w:p>
      <w:pPr>
        <w:spacing w:after="80"/>
      </w:pPr>
      <w:r>
        <w:rPr>
          <w:rFonts w:ascii="Open Sans" w:hAnsi="Open Sans" w:cs="Open Sans"/>
          <w:b/>
          <w:color w:val="042A25"/>
          <w:sz w:val="48"/>
        </w:rPr>
        <w:t>HSCI 130 — Foundations of Health Science</w:t>
      </w:r>
    </w:p>
    <w:p>
      <w:pPr>
        <w:spacing w:after="80"/>
      </w:pPr>
      <w:r>
        <w:rPr>
          <w:rFonts w:ascii="Open Sans" w:hAnsi="Open Sans" w:cs="Open Sans"/>
          <w:i/>
          <w:color w:val="555555"/>
          <w:sz w:val="18"/>
        </w:rPr>
        <w:t>A multi-determinant biography of one public-health topic, built one lens at a time</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An 8–12 page integrated 'biography' of a single public-health topic of your choice, examining it through each of the 12 foundational lenses of the course (conceptual, historical-surveillance, infectious, lifestyle, sexual-and-reproductive, life-course, genetic, behavioural-and-mental-health, environmental, occupational, social-economic-political, and disability-diversity). The biography is paired with a 1-page plain-language op-ed that translates the integrated picture for a general audience.</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Define and operationalise a public-health construct, and surface where its definition is contested.</w:t>
      </w:r>
    </w:p>
    <w:p>
      <w:pPr>
        <w:pStyle w:val="ListBullet"/>
        <w:spacing w:after="40"/>
      </w:pPr>
      <w:r>
        <w:rPr>
          <w:rFonts w:ascii="Open Sans" w:hAnsi="Open Sans" w:cs="Open Sans"/>
          <w:sz w:val="21"/>
        </w:rPr>
        <w:t>Locate, appraise, and report from real surveillance systems and burden-of-disease data.</w:t>
      </w:r>
    </w:p>
    <w:p>
      <w:pPr>
        <w:pStyle w:val="ListBullet"/>
        <w:spacing w:after="40"/>
      </w:pPr>
      <w:r>
        <w:rPr>
          <w:rFonts w:ascii="Open Sans" w:hAnsi="Open Sans" w:cs="Open Sans"/>
          <w:sz w:val="21"/>
        </w:rPr>
        <w:t>Reason about mechanism and causation, including ruling a candidate cause in or out.</w:t>
      </w:r>
    </w:p>
    <w:p>
      <w:pPr>
        <w:pStyle w:val="ListBullet"/>
        <w:spacing w:after="40"/>
      </w:pPr>
      <w:r>
        <w:rPr>
          <w:rFonts w:ascii="Open Sans" w:hAnsi="Open Sans" w:cs="Open Sans"/>
          <w:sz w:val="21"/>
        </w:rPr>
        <w:t>Appraise the strength of competing evidence claims and detect overstatement.</w:t>
      </w:r>
    </w:p>
    <w:p>
      <w:pPr>
        <w:pStyle w:val="ListBullet"/>
        <w:spacing w:after="40"/>
      </w:pPr>
      <w:r>
        <w:rPr>
          <w:rFonts w:ascii="Open Sans" w:hAnsi="Open Sans" w:cs="Open Sans"/>
          <w:sz w:val="21"/>
        </w:rPr>
        <w:t>Reason about determinants across stratification, the life course, and multiple exposure layers, distinguishing proximal from distal, then translate the result into plain language.</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Each piece practises a transferable skill of public-health assessment from that week's lecture, applied to your own topic. Where the week's lens fits your topic, use it directly. Where it does not (a sexual-health lens on lung cancer, say), you still practise and are graded on the same skill by one of three routes: document and defend the non-fit with evidence, practise the skill on a loaned example from another topic, or deepen an earlier milestone. No topic is disadvantaged by a lens that happens not to apply. You may also designate up to two weeks across the term as continuation weeks, submitting a deepening of a prior milestone or broader work toward the final biography instead of that week's lens; continuation weeks are graded on the same skill criteria and earn full credit when the skill is shown. Each piece is small, about 1 to 2 hours of focused work.</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integrated biography + op-ed: 25%. Peer review of one classmate's biography: 5%. Total course weight: 60%.</w:t>
      </w:r>
    </w:p>
    <w:p>
      <w:pPr>
        <w:spacing w:before="200" w:after="80"/>
        <w:outlineLvl w:val="1"/>
      </w:pPr>
      <w:r>
        <w:rPr>
          <w:rFonts w:ascii="Open Sans" w:hAnsi="Open Sans" w:cs="Open Sans"/>
          <w:b/>
          <w:color w:val="065C50"/>
          <w:sz w:val="26"/>
        </w:rPr>
        <w:t>How weekly milestones are graded</w:t>
      </w:r>
    </w:p>
    <w:p>
      <w:pPr>
        <w:spacing w:after="120"/>
      </w:pPr>
      <w:r>
        <w:rPr>
          <w:rFonts w:ascii="Open Sans" w:hAnsi="Open Sans" w:cs="Open Sans"/>
          <w:b w:val="0"/>
          <w:i w:val="0"/>
          <w:sz w:val="21"/>
        </w:rPr>
        <w:t>Each milestone is marked out of 5 and assesses a transferable skill, not whether your topic happens to fit the week's lens.</w:t>
      </w:r>
    </w:p>
    <w:p>
      <w:pPr>
        <w:pStyle w:val="ListBullet"/>
        <w:spacing w:after="40"/>
      </w:pPr>
      <w:r>
        <w:rPr>
          <w:rFonts w:ascii="Open Sans" w:hAnsi="Open Sans" w:cs="Open Sans"/>
          <w:sz w:val="21"/>
        </w:rPr>
        <w:t>3 marks: the week's skill is demonstrated on time, applied to your topic where the lens fits or via one of the three alternative routes where it does not.</w:t>
      </w:r>
    </w:p>
    <w:p>
      <w:pPr>
        <w:pStyle w:val="ListBullet"/>
        <w:spacing w:after="40"/>
      </w:pPr>
      <w:r>
        <w:rPr>
          <w:rFonts w:ascii="Open Sans" w:hAnsi="Open Sans" w:cs="Open Sans"/>
          <w:sz w:val="21"/>
        </w:rPr>
        <w:t>1 mark: claims are grounded in real, named sources.</w:t>
      </w:r>
    </w:p>
    <w:p>
      <w:pPr>
        <w:pStyle w:val="ListBullet"/>
        <w:spacing w:after="40"/>
      </w:pPr>
      <w:r>
        <w:rPr>
          <w:rFonts w:ascii="Open Sans" w:hAnsi="Open Sans" w:cs="Open Sans"/>
          <w:sz w:val="21"/>
        </w:rPr>
        <w:t>1 mark: the work is clear and reproducible, so someone else could build on it.</w:t>
      </w:r>
    </w:p>
    <w:p>
      <w:pPr>
        <w:spacing w:after="120"/>
      </w:pPr>
      <w:r>
        <w:rPr>
          <w:rFonts w:ascii="Open Sans" w:hAnsi="Open Sans" w:cs="Open Sans"/>
          <w:b w:val="0"/>
          <w:i w:val="0"/>
          <w:sz w:val="21"/>
        </w:rPr>
        <w:t>A well-argued 'this lens has little purchase on my topic' earns the same credit as a strong application. Honest acknowledgment of non-fit and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practises a transferable skill from that week's lecture, applied to your topic where the lens fits and to a defined alternative where it does not. The brief tells you what to submit; the rubric tells you how it is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Topic Lock + Definitions Memo</w:t>
      </w:r>
    </w:p>
    <w:p>
      <w:pPr>
        <w:spacing w:after="80"/>
      </w:pPr>
      <w:r>
        <w:rPr>
          <w:rFonts w:ascii="Open Sans" w:hAnsi="Open Sans" w:cs="Open Sans"/>
          <w:i/>
          <w:color w:val="555555"/>
          <w:sz w:val="18"/>
        </w:rPr>
        <w:t>Lesson 1 — Conceptualizing Health, Illness, and Disease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defining and operationalising a public-health construct. Pick the topic you will follow all term and write a definitions memo stating what kind of phenomenon it is and where its definition is contested.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single locked-in topic for the term (e.g., type 2 diabetes, suicide, asthma, lead poisoning, traffic injuries, intimate-partner violence, alcohol-related liver disease).</w:t>
      </w:r>
    </w:p>
    <w:p>
      <w:pPr>
        <w:pStyle w:val="ListBullet"/>
        <w:spacing w:after="40"/>
      </w:pPr>
      <w:r>
        <w:rPr>
          <w:rFonts w:ascii="Open Sans" w:hAnsi="Open Sans" w:cs="Open Sans"/>
          <w:sz w:val="21"/>
        </w:rPr>
        <w:t>A 1-paragraph definitions memo: how is your topic defined as a disease, as a state, as a behaviour, or as a syndrome — and by whom (clinical, public-health, lived-experience)?</w:t>
      </w:r>
    </w:p>
    <w:p>
      <w:pPr>
        <w:pStyle w:val="ListBullet"/>
        <w:spacing w:after="40"/>
      </w:pPr>
      <w:r>
        <w:rPr>
          <w:rFonts w:ascii="Open Sans" w:hAnsi="Open Sans" w:cs="Open Sans"/>
          <w:sz w:val="21"/>
        </w:rPr>
        <w:t>One contested definition: name who contests it and explain why.</w:t>
      </w:r>
    </w:p>
    <w:p>
      <w:pPr>
        <w:pStyle w:val="ListBullet"/>
        <w:spacing w:after="40"/>
      </w:pPr>
      <w:r>
        <w:rPr>
          <w:rFonts w:ascii="Open Sans" w:hAnsi="Open Sans" w:cs="Open Sans"/>
          <w:sz w:val="21"/>
        </w:rPr>
        <w:t>Submit as a 1 to 2 page Word/PDF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Definitions decide who counts, who gets treated, and who pays. Whatever your topic, the skill is the same: state the construct precisely and show where reasonable people define it differently. Your capstone begins from the definitional choices that will follow the topic all term.</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Brought to next class as your locked topic; we will hear several aloud.</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the skill of defining and operationalising a construct: the topic is precisely defined and at least one contested definition is surfaced with its contesters named. The skill is assessed, not the topic chosen.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Topic is focused and answerable; definitions distinguish disease, illness, and behaviour where relevant; the contested-definition note is specific.</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Topic Lock + Definitions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Topic is focused, defensible, and answerable within the breadth of this course.</w:t>
      </w:r>
    </w:p>
    <w:p>
      <w:pPr>
        <w:pStyle w:val="ListBullet"/>
        <w:spacing w:after="40"/>
      </w:pPr>
      <w:r>
        <w:rPr>
          <w:rFonts w:ascii="Open Sans" w:hAnsi="Open Sans" w:cs="Open Sans"/>
          <w:sz w:val="21"/>
        </w:rPr>
        <w:t>Definitions distinguish disease, illness, and behaviour where relevant.</w:t>
      </w:r>
    </w:p>
    <w:p>
      <w:pPr>
        <w:pStyle w:val="ListBullet"/>
        <w:spacing w:after="40"/>
      </w:pPr>
      <w:r>
        <w:rPr>
          <w:rFonts w:ascii="Open Sans" w:hAnsi="Open Sans" w:cs="Open Sans"/>
          <w:sz w:val="21"/>
        </w:rPr>
        <w:t>Contested-definition note is specific and names the contesters.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Public-Health History &amp; Surveillance Timeline</w:t>
      </w:r>
    </w:p>
    <w:p>
      <w:pPr>
        <w:spacing w:after="80"/>
      </w:pPr>
      <w:r>
        <w:rPr>
          <w:rFonts w:ascii="Open Sans" w:hAnsi="Open Sans" w:cs="Open Sans"/>
          <w:i/>
          <w:color w:val="555555"/>
          <w:sz w:val="18"/>
        </w:rPr>
        <w:t>Lesson 2 — Rise of Public Health and Modern Surveillance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locating and appraising the data systems that count a problem. Build a timeline of when your topic became a recognised public-health issue and audit how it is surveilled today.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timeline (visual or list) of 4–7 milestones in the history of your topic as a public-health concern (first description, first surveillance, key reports, policy responses).</w:t>
      </w:r>
    </w:p>
    <w:p>
      <w:pPr>
        <w:pStyle w:val="ListBullet"/>
        <w:spacing w:after="40"/>
      </w:pPr>
      <w:r>
        <w:rPr>
          <w:rFonts w:ascii="Open Sans" w:hAnsi="Open Sans" w:cs="Open Sans"/>
          <w:sz w:val="21"/>
        </w:rPr>
        <w:t>A named list of 2–3 surveillance systems that currently track your topic in Canada or BC (e.g., CCHS, Vital Statistics, BC Coroners' data, notifiable-disease lists, BC PHSA dashboards).</w:t>
      </w:r>
    </w:p>
    <w:p>
      <w:pPr>
        <w:pStyle w:val="ListBullet"/>
        <w:spacing w:after="40"/>
      </w:pPr>
      <w:r>
        <w:rPr>
          <w:rFonts w:ascii="Open Sans" w:hAnsi="Open Sans" w:cs="Open Sans"/>
          <w:sz w:val="21"/>
        </w:rPr>
        <w:t>For each surveillance system: data steward, refresh cadence, what it can and cannot tell you.</w:t>
      </w:r>
    </w:p>
    <w:p>
      <w:pPr>
        <w:pStyle w:val="ListBullet"/>
        <w:spacing w:after="40"/>
      </w:pPr>
      <w:r>
        <w:rPr>
          <w:rFonts w:ascii="Open Sans" w:hAnsi="Open Sans" w:cs="Open Sans"/>
          <w:sz w:val="21"/>
        </w:rPr>
        <w:t>GBD numbers for your topic: look up your topic in the GBD Compare tool (https://vizhub.healthdata.org/gbd-compare/) and report (a) global DALYs attributable to it in 2021, (b) the Canadian rank of your topic among all causes of DALYs (or among risk factors if your topic is a risk factor), and (c) one country where your topic ranks markedly higher than in Canada, with a one-sentence plausible reason.</w:t>
      </w:r>
    </w:p>
    <w:p>
      <w:pPr>
        <w:pStyle w:val="ListBullet"/>
        <w:spacing w:after="40"/>
      </w:pPr>
      <w:r>
        <w:rPr>
          <w:rFonts w:ascii="Open Sans" w:hAnsi="Open Sans" w:cs="Open Sans"/>
          <w:sz w:val="21"/>
        </w:rPr>
        <w:t>Submit as a 2-page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Public health emerged as a discipline by counting things, and every topic has a counting history and a present-day data infrastructure. The skill is locating real data systems and reading honestly what each can and cannot tell you.</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timeline to Week 3.</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the skill of locating and appraising surveillance systems and burden data: real dated milestones, named systems with their stewards and limits, and correctly reported GBD figures.</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Timeline shows real, dated milestones; two to three named surveillance systems with stewards and honest limits; GBD numbers reported with year and source.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Public-Health History &amp; Surveillance Timeline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Timeline shows real, dated milestones (not generic ones).</w:t>
      </w:r>
    </w:p>
    <w:p>
      <w:pPr>
        <w:pStyle w:val="ListBullet"/>
        <w:spacing w:after="40"/>
      </w:pPr>
      <w:r>
        <w:rPr>
          <w:rFonts w:ascii="Open Sans" w:hAnsi="Open Sans" w:cs="Open Sans"/>
          <w:sz w:val="21"/>
        </w:rPr>
        <w:t>Three surveillance systems are real and named with stewards.</w:t>
      </w:r>
    </w:p>
    <w:p>
      <w:pPr>
        <w:pStyle w:val="ListBullet"/>
        <w:spacing w:after="40"/>
      </w:pPr>
      <w:r>
        <w:rPr>
          <w:rFonts w:ascii="Open Sans" w:hAnsi="Open Sans" w:cs="Open Sans"/>
          <w:sz w:val="21"/>
        </w:rPr>
        <w:t>Honest assessment of what each system can and cannot tell you.</w:t>
      </w:r>
    </w:p>
    <w:p>
      <w:pPr>
        <w:pStyle w:val="ListBullet"/>
        <w:spacing w:after="40"/>
      </w:pPr>
      <w:r>
        <w:rPr>
          <w:rFonts w:ascii="Open Sans" w:hAnsi="Open Sans" w:cs="Open Sans"/>
          <w:sz w:val="21"/>
        </w:rPr>
        <w:t>GBD numbers are reported correctly with year and source.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Causal-Pathway Audit (Infectious Lens)</w:t>
      </w:r>
    </w:p>
    <w:p>
      <w:pPr>
        <w:spacing w:after="80"/>
      </w:pPr>
      <w:r>
        <w:rPr>
          <w:rFonts w:ascii="Open Sans" w:hAnsi="Open Sans" w:cs="Open Sans"/>
          <w:i/>
          <w:color w:val="555555"/>
          <w:sz w:val="18"/>
        </w:rPr>
        <w:t>Lesson 3 — Infectious Disease, Sanitation, and Hygiene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reasoning about mechanism and causation, including ruling a cause in or out. Test whether an infectious or transmissible mechanism contributes to your topic, and use a historical case to sharpen the argument.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audit testing whether an infectious or transmissible agent contributes to your topic. If yes, name the agent(s) and the evidence (e.g., HPV and cervical cancer; H. pylori and ulcers; the gut microbiome and metabolic disease).</w:t>
      </w:r>
    </w:p>
    <w:p>
      <w:pPr>
        <w:pStyle w:val="ListBullet"/>
        <w:spacing w:after="40"/>
      </w:pPr>
      <w:r>
        <w:rPr>
          <w:rFonts w:ascii="Open Sans" w:hAnsi="Open Sans" w:cs="Open Sans"/>
          <w:sz w:val="21"/>
        </w:rPr>
        <w:t>If no infectious agent is implicated, treat that as a finding: argue the rule-out with evidence, and state what the founding infectious-control methods (case-counting, mapping, isolation, the institutional architecture of population control) still contribute to understanding your topic.</w:t>
      </w:r>
    </w:p>
    <w:p>
      <w:pPr>
        <w:pStyle w:val="ListBullet"/>
        <w:spacing w:after="40"/>
      </w:pPr>
      <w:r>
        <w:rPr>
          <w:rFonts w:ascii="Open Sans" w:hAnsi="Open Sans" w:cs="Open Sans"/>
          <w:sz w:val="21"/>
        </w:rPr>
        <w:t>One named historical case (e.g., Snow on cholera, Semmelweis on puerperal fever): is its causal reasoning analogous to your topic's, or not, and why?</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The founding methods of public health were built to find and control transmissible disease, and that machinery still shapes how every topic is studied, including the non-communicable ones. The skill here is causal reasoning: building the case that a mechanism does or does not operate, and testing it against a known example. A clean rule-out is worth as much as a positive finding.</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4.</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causal and mechanistic reasoning: an infectious or transmissible pathway is argued in or out with named evidence, and a historical case is used as a real analogy or disanalogy. A defended rule-out earns full credit.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The argument rests on named evidence; the historical case is specific; the limits of the lens are stated honestly.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Pr>
                <w:rFonts w:ascii="Open Sans" w:hAnsi="Open Sans" w:cs="Open Sans"/>
                <w:b/>
                <w:color w:val="042A25"/>
                <w:sz w:val="20"/>
              </w:rPr>
              <w:t>Weekly milestone — Causal-Pathway Audit (Infectious Lens)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The in-or-out argument rests on named evidence, not assumption.</w:t>
      </w:r>
    </w:p>
    <w:p>
      <w:pPr>
        <w:pStyle w:val="ListBullet"/>
        <w:spacing w:after="40"/>
      </w:pPr>
      <w:r>
        <w:rPr>
          <w:rFonts w:ascii="Open Sans" w:hAnsi="Open Sans" w:cs="Open Sans"/>
          <w:sz w:val="21"/>
        </w:rPr>
        <w:t>The historical case is specific and used as a genuine analogy or disanalogy.</w:t>
      </w:r>
    </w:p>
    <w:p>
      <w:pPr>
        <w:pStyle w:val="ListBullet"/>
        <w:spacing w:after="40"/>
      </w:pPr>
      <w:r>
        <w:rPr>
          <w:rFonts w:ascii="Open Sans" w:hAnsi="Open Sans" w:cs="Open Sans"/>
          <w:sz w:val="21"/>
        </w:rPr>
        <w:t>Honest about what the lens cannot tell you about your topic.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Evidence-Strength Audit (Lifestyle Pillars)</w:t>
      </w:r>
    </w:p>
    <w:p>
      <w:pPr>
        <w:spacing w:after="80"/>
      </w:pPr>
      <w:r>
        <w:rPr>
          <w:rFonts w:ascii="Open Sans" w:hAnsi="Open Sans" w:cs="Open Sans"/>
          <w:i/>
          <w:color w:val="555555"/>
          <w:sz w:val="18"/>
        </w:rPr>
        <w:t>Lesson 4 — Nutrition, Physical Activity, and Sleep</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appraising how strong an evidence claim actually is. Sort the links between your topic and nutrition, physical activity, and sleep into established, emerging, and null, and name where popular media overstate the case.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table: rows = nutrition, physical activity, sleep; columns = established link, emerging link, no link or unclear. A 'no link' cell is a legitimate, gradeable finding. If a pillar is near-irrelevant to your topic, say so and substitute the single most-hyped modifiable factor for your topic in that row.</w:t>
      </w:r>
    </w:p>
    <w:p>
      <w:pPr>
        <w:pStyle w:val="ListBullet"/>
        <w:spacing w:after="40"/>
      </w:pPr>
      <w:r>
        <w:rPr>
          <w:rFonts w:ascii="Open Sans" w:hAnsi="Open Sans" w:cs="Open Sans"/>
          <w:sz w:val="21"/>
        </w:rPr>
        <w:t>Each cell cites a named source (review article, guideline, surveillance brief) — not Wikipedia.</w:t>
      </w:r>
    </w:p>
    <w:p>
      <w:pPr>
        <w:pStyle w:val="ListBullet"/>
        <w:spacing w:after="40"/>
      </w:pPr>
      <w:r>
        <w:rPr>
          <w:rFonts w:ascii="Open Sans" w:hAnsi="Open Sans" w:cs="Open Sans"/>
          <w:sz w:val="21"/>
        </w:rPr>
        <w:t>A 1-paragraph note: which factor is most consequential for your topic, and which is most overstated in popular media?</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Lifestyle advice is where overstatement is loudest. The skill is calibration: separating what the evidence supports from what is merely repeated. For some topics one or more pillars will be near-irrelevant, and documenting that, then appraising whatever modifiable factor does matter, is part of the skill.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table to Week 5.</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evidence-strength appraisal: links are sorted into established, emerging, and null with named sources, and overstatement is identified. Documenting a weak or null pillar, then appraising a factor that does matter, earns full credit.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Factors treated separately with named sources; evidence strength distinguished; overstatement named honestly.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Pr>
                <w:rFonts w:ascii="Open Sans" w:hAnsi="Open Sans" w:cs="Open Sans"/>
                <w:b/>
                <w:color w:val="042A25"/>
                <w:sz w:val="20"/>
              </w:rPr>
              <w:t>Weekly milestone — Evidence-Strength Audit (Lifestyle Pillars)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Each factor treated separately with named sources.</w:t>
      </w:r>
    </w:p>
    <w:p>
      <w:pPr>
        <w:pStyle w:val="ListBullet"/>
        <w:spacing w:after="40"/>
      </w:pPr>
      <w:r>
        <w:rPr>
          <w:rFonts w:ascii="Open Sans" w:hAnsi="Open Sans" w:cs="Open Sans"/>
          <w:sz w:val="21"/>
        </w:rPr>
        <w:t>Established, emerging, and null evidence are clearly distinguished.</w:t>
      </w:r>
    </w:p>
    <w:p>
      <w:pPr>
        <w:pStyle w:val="ListBullet"/>
        <w:spacing w:after="40"/>
      </w:pPr>
      <w:r>
        <w:rPr>
          <w:rFonts w:ascii="Open Sans" w:hAnsi="Open Sans" w:cs="Open Sans"/>
          <w:sz w:val="21"/>
        </w:rPr>
        <w:t>Overstatement on the topic is identified honestly; a weak or null pillar is documented rather than padded.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Stratified-Reasoning Audit (Sex, Gender, SRH)</w:t>
      </w:r>
    </w:p>
    <w:p>
      <w:pPr>
        <w:spacing w:after="80"/>
      </w:pPr>
      <w:r>
        <w:rPr>
          <w:rFonts w:ascii="Open Sans" w:hAnsi="Open Sans" w:cs="Open Sans"/>
          <w:i/>
          <w:color w:val="555555"/>
          <w:sz w:val="18"/>
        </w:rPr>
        <w:t>Lesson 5 — Sexual and Reproductive Health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stratifying a health problem by sex, gender, and reproductive stage, and spotting where disaggregated data are missing. Apply it to your topic whether or not it is primarily a sexual or reproductive health issue.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memo in three parts: (a) direct SRH dimension (does your topic affect or interact with sexual or reproductive health?); (b) indirect dimension (does it differ by sex/gender, parity, or life-stage transitions such as pregnancy or menopause?); (c) if SRH is non-central, say so and instead stratify your topic by sex/gender and one other axis where the data allow.</w:t>
      </w:r>
    </w:p>
    <w:p>
      <w:pPr>
        <w:pStyle w:val="ListBullet"/>
        <w:spacing w:after="40"/>
      </w:pPr>
      <w:r>
        <w:rPr>
          <w:rFonts w:ascii="Open Sans" w:hAnsi="Open Sans" w:cs="Open Sans"/>
          <w:sz w:val="21"/>
        </w:rPr>
        <w:t>Cite at least 2 named sources (one peer-reviewed, one public-health-agency report).</w:t>
      </w:r>
    </w:p>
    <w:p>
      <w:pPr>
        <w:pStyle w:val="ListBullet"/>
        <w:spacing w:after="40"/>
      </w:pPr>
      <w:r>
        <w:rPr>
          <w:rFonts w:ascii="Open Sans" w:hAnsi="Open Sans" w:cs="Open Sans"/>
          <w:sz w:val="21"/>
        </w:rPr>
        <w:t>Identify one subgroup whose stratified experience of your topic is least studied.</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Almost every health problem distributes unevenly by sex and gender even when it is not 'about' reproduction, and the data needed to see that are often missing. The skill is stratified reasoning and noticing the gaps. Lung cancer, for instance, differs by sex in smoking history, screening uptake, and tumour biology, so the lens still has purchase on a topic that is not itself an SRH issue.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stratified reasoning: the topic is examined by sex/gender and reproductive stage where relevant, and an understudied subgroup is identified. Documenting that SRH is non-central, then stratifying on another axis, earns full credit.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All three parts addressed honestly; two named sources including one peer-reviewed; the understudied subgroup is specific.</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Pr>
                <w:rFonts w:ascii="Open Sans" w:hAnsi="Open Sans" w:cs="Open Sans"/>
                <w:b/>
                <w:color w:val="042A25"/>
                <w:sz w:val="20"/>
              </w:rPr>
              <w:t>Weekly milestone — Stratified-Reasoning Audit (Sex, Gender, SRH)</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three parts addressed honestly, including the non-central route where appropriate.</w:t>
      </w:r>
    </w:p>
    <w:p>
      <w:pPr>
        <w:pStyle w:val="ListBullet"/>
        <w:spacing w:after="40"/>
      </w:pPr>
      <w:r>
        <w:rPr>
          <w:rFonts w:ascii="Open Sans" w:hAnsi="Open Sans" w:cs="Open Sans"/>
          <w:sz w:val="21"/>
        </w:rPr>
        <w:t>At least 2 named sources, one peer-reviewed.</w:t>
      </w:r>
    </w:p>
    <w:p>
      <w:pPr>
        <w:pStyle w:val="ListBullet"/>
        <w:spacing w:after="40"/>
      </w:pPr>
      <w:r>
        <w:rPr>
          <w:rFonts w:ascii="Open Sans" w:hAnsi="Open Sans" w:cs="Open Sans"/>
          <w:sz w:val="21"/>
        </w:rPr>
        <w:t>The understudied subgroup is specific and defensible.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Life-Course Risk Map</w:t>
      </w:r>
    </w:p>
    <w:p>
      <w:pPr>
        <w:spacing w:after="80"/>
      </w:pPr>
      <w:r>
        <w:rPr>
          <w:rFonts w:ascii="Open Sans" w:hAnsi="Open Sans" w:cs="Open Sans"/>
          <w:i/>
          <w:color w:val="555555"/>
          <w:sz w:val="18"/>
        </w:rPr>
        <w:t>Lesson 6 — Human Development and the Life Course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temporal reasoning across the life course. Map when risk for your topic emerges, accumulates, and manifests, and identify any critical window.</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simple life-course diagram with the standard windows (prenatal, infancy, childhood, adolescence, early/mid/late adulthood, older age) showing when risk for your topic emerges and when it manifests.</w:t>
      </w:r>
    </w:p>
    <w:p>
      <w:pPr>
        <w:pStyle w:val="ListBullet"/>
        <w:spacing w:after="40"/>
      </w:pPr>
      <w:r>
        <w:rPr>
          <w:rFonts w:ascii="Open Sans" w:hAnsi="Open Sans" w:cs="Open Sans"/>
          <w:sz w:val="21"/>
        </w:rPr>
        <w:t>For each window: 1–2 sentences on what is known, what is unknown, and which exposures matter most.</w:t>
      </w:r>
    </w:p>
    <w:p>
      <w:pPr>
        <w:pStyle w:val="ListBullet"/>
        <w:spacing w:after="40"/>
      </w:pPr>
      <w:r>
        <w:rPr>
          <w:rFonts w:ascii="Open Sans" w:hAnsi="Open Sans" w:cs="Open Sans"/>
          <w:sz w:val="21"/>
        </w:rPr>
        <w:t>Identify the 'critical window' for your topic if one exists (e.g., 1000 days for nutrition; adolescence for substance-use onset; menopause for bone loss).</w:t>
      </w:r>
    </w:p>
    <w:p>
      <w:pPr>
        <w:pStyle w:val="ListBullet"/>
        <w:spacing w:after="40"/>
      </w:pPr>
      <w:r>
        <w:rPr>
          <w:rFonts w:ascii="Open Sans" w:hAnsi="Open Sans" w:cs="Open Sans"/>
          <w:sz w:val="21"/>
        </w:rPr>
        <w:t>Submit as a 1–2 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Risk does not sit in a single decade. The skill is temporal reasoning: showing where risk for your topic emerges, where it accumulates, and where it finally manifests, and defending any inflection point you claim.</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map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life-course temporal reasoning: the map spans prenatal to late life, distinguishes emergence from manifestation, and defends any critical window claimed.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Map covers prenatal through late life; critical window (if claimed) is defended; emergence is distinguished from manifestation.</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Life-Course Risk Map</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Map covers prenatal through late life (no missing windows).</w:t>
      </w:r>
    </w:p>
    <w:p>
      <w:pPr>
        <w:pStyle w:val="ListBullet"/>
        <w:spacing w:after="40"/>
      </w:pPr>
      <w:r>
        <w:rPr>
          <w:rFonts w:ascii="Open Sans" w:hAnsi="Open Sans" w:cs="Open Sans"/>
          <w:sz w:val="21"/>
        </w:rPr>
        <w:t>Critical window (if claimed) is defended, not asserted.</w:t>
      </w:r>
    </w:p>
    <w:p>
      <w:pPr>
        <w:pStyle w:val="ListBullet"/>
        <w:spacing w:after="40"/>
      </w:pPr>
      <w:r>
        <w:rPr>
          <w:rFonts w:ascii="Open Sans" w:hAnsi="Open Sans" w:cs="Open Sans"/>
          <w:sz w:val="21"/>
        </w:rPr>
        <w:t>Distinguishes emergence from manifestation.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Effect-Size Audit (Genetic &amp; Genomic)</w:t>
      </w:r>
    </w:p>
    <w:p>
      <w:pPr>
        <w:spacing w:after="80"/>
      </w:pPr>
      <w:r>
        <w:rPr>
          <w:rFonts w:ascii="Open Sans" w:hAnsi="Open Sans" w:cs="Open Sans"/>
          <w:i/>
          <w:color w:val="555555"/>
          <w:sz w:val="18"/>
        </w:rPr>
        <w:t>Lesson 7 — Genetics, Genomics, and Health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interpreting heritability and effect sizes, and judging how much of a problem a given factor explains. Apply it to the genetics of your topic, or, where genetic evidence is thin, to the strongest quantitative risk-factor evidence you do have.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summary of the genetic or genomic contribution: a heritability estimate (with citation) or a note that none is established; named genes or GWAS hits if any (with citation); one gene-environment interaction with a named environmental modifier.</w:t>
      </w:r>
    </w:p>
    <w:p>
      <w:pPr>
        <w:pStyle w:val="ListBullet"/>
        <w:spacing w:after="40"/>
      </w:pPr>
      <w:r>
        <w:rPr>
          <w:rFonts w:ascii="Open Sans" w:hAnsi="Open Sans" w:cs="Open Sans"/>
          <w:sz w:val="21"/>
        </w:rPr>
        <w:t>If no robust genetic evidence exists for your topic, treat that as the finding: say so, and instead interpret effect sizes from the strongest quantitative risk-factor literature you have (relative risks, odds ratios, population attributable fractions), judging what they do and do not explain.</w:t>
      </w:r>
    </w:p>
    <w:p>
      <w:pPr>
        <w:pStyle w:val="ListBullet"/>
        <w:spacing w:after="40"/>
      </w:pPr>
      <w:r>
        <w:rPr>
          <w:rFonts w:ascii="Open Sans" w:hAnsi="Open Sans" w:cs="Open Sans"/>
          <w:sz w:val="21"/>
        </w:rPr>
        <w:t>A short paragraph on the limits of whichever explanation you chose (heritability is not destiny; GWAS effect sizes are small; ancestry bias in reference panels; confounding in observational estimates).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Genetics is where 'a gene for X' headlines outrun the evidence. The skill is reading effect sizes honestly and saying how much they explain. Many topics have little established genetics, so this week doubles as a general effect-size week: interpret the strongest quantitative evidence you have and calibrate the claim to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summary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effect-size interpretation and calibration: heritability and genetic findings, or where these are absent the strongest quantitative risk-factor evidence, are reported and their explanatory weight is judged. A defended pivot to effect-size interpretation earns full credit.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A finding or its absence is sourced; an effect size is interpreted, not just cited; limits are addressed without dismissiveness.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Pr>
                <w:rFonts w:ascii="Open Sans" w:hAnsi="Open Sans" w:cs="Open Sans"/>
                <w:b/>
                <w:color w:val="042A25"/>
                <w:sz w:val="20"/>
              </w:rPr>
              <w:t>Weekly milestone — Effect-Size Audit (Genetic &amp; Genomic)</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Heritability or genetic finding is sourced, or its absence is stated honestly.</w:t>
      </w:r>
    </w:p>
    <w:p>
      <w:pPr>
        <w:pStyle w:val="ListBullet"/>
        <w:spacing w:after="40"/>
      </w:pPr>
      <w:r>
        <w:rPr>
          <w:rFonts w:ascii="Open Sans" w:hAnsi="Open Sans" w:cs="Open Sans"/>
          <w:sz w:val="21"/>
        </w:rPr>
        <w:t>At least one interaction or effect size is interpreted, not merely cited.</w:t>
      </w:r>
    </w:p>
    <w:p>
      <w:pPr>
        <w:pStyle w:val="ListBullet"/>
        <w:spacing w:after="40"/>
      </w:pPr>
      <w:r>
        <w:rPr>
          <w:rFonts w:ascii="Open Sans" w:hAnsi="Open Sans" w:cs="Open Sans"/>
          <w:sz w:val="21"/>
        </w:rPr>
        <w:t>Limits of the chosen explanation are addressed without dismissiveness.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Behavioural &amp; Mental-Health Pathways</w:t>
      </w:r>
    </w:p>
    <w:p>
      <w:pPr>
        <w:spacing w:after="80"/>
      </w:pPr>
      <w:r>
        <w:rPr>
          <w:rFonts w:ascii="Open Sans" w:hAnsi="Open Sans" w:cs="Open Sans"/>
          <w:i/>
          <w:color w:val="555555"/>
          <w:sz w:val="18"/>
        </w:rPr>
        <w:t>Lesson 8 — Health Behaviors, Mental Health, and Social Influence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mapping behavioural pathways and their social embedding. Link the relevant health behaviours to your topic, characterise any mental-health overlap, and name a social mechanism that shapes them.</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simple diagram or table linking 2 to 4 health behaviours (e.g., smoking, alcohol, screen use, dietary patterns) to your topic, with one source per link. If few behaviours are implicated, document that and map the strongest single behavioural or social pathway in depth instead.</w:t>
      </w:r>
    </w:p>
    <w:p>
      <w:pPr>
        <w:pStyle w:val="ListBullet"/>
        <w:spacing w:after="40"/>
      </w:pPr>
      <w:r>
        <w:rPr>
          <w:rFonts w:ascii="Open Sans" w:hAnsi="Open Sans" w:cs="Open Sans"/>
          <w:sz w:val="21"/>
        </w:rPr>
        <w:t>A 1-paragraph note on the mental-health overlap with your topic (bidirectional, comorbid, mediator, or absent).</w:t>
      </w:r>
    </w:p>
    <w:p>
      <w:pPr>
        <w:pStyle w:val="ListBullet"/>
        <w:spacing w:after="40"/>
      </w:pPr>
      <w:r>
        <w:rPr>
          <w:rFonts w:ascii="Open Sans" w:hAnsi="Open Sans" w:cs="Open Sans"/>
          <w:sz w:val="21"/>
        </w:rPr>
        <w:t>Name one documented social-influence mechanism (peer effects, social norms, network position, advertising exposure) that shapes a key behaviour for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Behaviour is socially embedded, not individually chosen. The skill is making the pathway visible: which behaviours feed your topic, how mental health sits alongside it, and what social forces shape the behaviour in the first place.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map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pathway mapping: behavioural links are real and sourced, the mental-health relationship is characterised honestly, and a social-influence mechanism is named and explained.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Behavioural pathways real and sourced; mental-health overlap characterised honestly; a social-influence mechanism named and explained.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Behavioural &amp; Mental-Health Pathways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Behavioural pathways are real and sourced.</w:t>
      </w:r>
    </w:p>
    <w:p>
      <w:pPr>
        <w:pStyle w:val="ListBullet"/>
        <w:spacing w:after="40"/>
      </w:pPr>
      <w:r>
        <w:rPr>
          <w:rFonts w:ascii="Open Sans" w:hAnsi="Open Sans" w:cs="Open Sans"/>
          <w:sz w:val="21"/>
        </w:rPr>
        <w:t>Mental-health overlap is characterised honestly (including 'no clear link' when appropriate).</w:t>
      </w:r>
    </w:p>
    <w:p>
      <w:pPr>
        <w:pStyle w:val="ListBullet"/>
        <w:spacing w:after="40"/>
      </w:pPr>
      <w:r>
        <w:rPr>
          <w:rFonts w:ascii="Open Sans" w:hAnsi="Open Sans" w:cs="Open Sans"/>
          <w:sz w:val="21"/>
        </w:rPr>
        <w:t>At least one social-influence mechanism is named and explained.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Environmental Exposures Audit</w:t>
      </w:r>
    </w:p>
    <w:p>
      <w:pPr>
        <w:spacing w:after="80"/>
      </w:pPr>
      <w:r>
        <w:rPr>
          <w:rFonts w:ascii="Open Sans" w:hAnsi="Open Sans" w:cs="Open Sans"/>
          <w:i/>
          <w:color w:val="555555"/>
          <w:sz w:val="18"/>
        </w:rPr>
        <w:t>Lesson 9 — Environmental Health: Indoor, Built, and Natural</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mapping exposure across indoor, built, and natural environments and placing it in the BC context. Audit which layers matter for your topic and which emerging climate exposure may matter next.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table: rows = indoor (air, dust, mould, radon), built (housing, transportation, green space), natural (air pollution, water, climate, wildfire smoke, heat); columns = relevance to your topic, named exposure, source. Where a layer is irrelevant, note that explicitly rather than padding it.</w:t>
      </w:r>
    </w:p>
    <w:p>
      <w:pPr>
        <w:pStyle w:val="ListBullet"/>
        <w:spacing w:after="40"/>
      </w:pPr>
      <w:r>
        <w:rPr>
          <w:rFonts w:ascii="Open Sans" w:hAnsi="Open Sans" w:cs="Open Sans"/>
          <w:sz w:val="21"/>
        </w:rPr>
        <w:t>Identify which environmental layer is most consequential for your topic in the BC context.</w:t>
      </w:r>
    </w:p>
    <w:p>
      <w:pPr>
        <w:pStyle w:val="ListBullet"/>
        <w:spacing w:after="40"/>
      </w:pPr>
      <w:r>
        <w:rPr>
          <w:rFonts w:ascii="Open Sans" w:hAnsi="Open Sans" w:cs="Open Sans"/>
          <w:sz w:val="21"/>
        </w:rPr>
        <w:t>Note one emerging climate-related exposure (heat, wildfire smoke, pollen seasonality, vector range) that may matter for your topic over the next decade.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Topics are often framed as one-layer issues ('air quality') when several layers contribute. The skill is multi-layer exposure mapping, anchored in the BC context, with an eye to how climate change may shift the picture.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multi-layer exposure mapping: all three layers are addressed or their non-relevance noted, exposures are named with sources, and the BC context is engaged.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All three layers addressed or non-relevance noted; named exposures with sources, not generic 'pollution'; BC context engaged.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Environmental Exposures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three layers addressed (or non-relevance explicitly noted).</w:t>
      </w:r>
    </w:p>
    <w:p>
      <w:pPr>
        <w:pStyle w:val="ListBullet"/>
        <w:spacing w:after="40"/>
      </w:pPr>
      <w:r>
        <w:rPr>
          <w:rFonts w:ascii="Open Sans" w:hAnsi="Open Sans" w:cs="Open Sans"/>
          <w:sz w:val="21"/>
        </w:rPr>
        <w:t>Named exposures with sources, not generic 'pollution'.</w:t>
      </w:r>
    </w:p>
    <w:p>
      <w:pPr>
        <w:pStyle w:val="ListBullet"/>
        <w:spacing w:after="40"/>
      </w:pPr>
      <w:r>
        <w:rPr>
          <w:rFonts w:ascii="Open Sans" w:hAnsi="Open Sans" w:cs="Open Sans"/>
          <w:sz w:val="21"/>
        </w:rPr>
        <w:t>BC context is engaged, not ignored.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Concentrated-Exposure Audit (Occupational)</w:t>
      </w:r>
    </w:p>
    <w:p>
      <w:pPr>
        <w:spacing w:after="80"/>
      </w:pPr>
      <w:r>
        <w:rPr>
          <w:rFonts w:ascii="Open Sans" w:hAnsi="Open Sans" w:cs="Open Sans"/>
          <w:i/>
          <w:color w:val="555555"/>
          <w:sz w:val="18"/>
        </w:rPr>
        <w:t>Lesson 10 — Occupational Health and Worker Safety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finding the populations where exposure to your topic concentrates, and reasoning about who is under-counted. Use occupational groups where they apply, or any setting that concentrates the exposure where they do not.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memo naming 2 to 3 populations with elevated or concentrated risk for your topic. Default to occupational groups (e.g., agricultural, healthcare, transport, construction, cleaning, sex work). Where occupation is not a major axis, use any population that concentrates the exposure (e.g., caregivers, students, incarcerated people, or people in particular housing or care settings).</w:t>
      </w:r>
    </w:p>
    <w:p>
      <w:pPr>
        <w:pStyle w:val="ListBullet"/>
        <w:spacing w:after="40"/>
      </w:pPr>
      <w:r>
        <w:rPr>
          <w:rFonts w:ascii="Open Sans" w:hAnsi="Open Sans" w:cs="Open Sans"/>
          <w:sz w:val="21"/>
        </w:rPr>
        <w:t>For each: the named exposure(s), the relevant evidence base (WorkSafeBC, NIOSH, or an equivalent source for non-occupational populations), and what makes the risk concentrated rather than general.</w:t>
      </w:r>
    </w:p>
    <w:p>
      <w:pPr>
        <w:pStyle w:val="ListBullet"/>
        <w:spacing w:after="40"/>
      </w:pPr>
      <w:r>
        <w:rPr>
          <w:rFonts w:ascii="Open Sans" w:hAnsi="Open Sans" w:cs="Open Sans"/>
          <w:sz w:val="21"/>
        </w:rPr>
        <w:t>A short paragraph on populations whose exposures are under-documented (informal, gig, or undocumented workers, or the analogous hard-to-count group for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Risk rarely spreads evenly; it pools in particular jobs, settings, and populations, and the people most exposed are often the least counted. The skill is finding where exposure concentrates and reasoning about the measurement gap. Occupation is the classic case, but the same skill applies to any concentrated-exposure population.</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concentrated-exposure reasoning: 2 to 3 populations where risk pools are named with specific exposures and an evidence base, and an under-counted population is identified. Using a non-occupational concentrated-exposure population where occupation does not apply earns full credit.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Populations real and named; exposures specific; under-counted populations addressed honestly.</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Pr>
                <w:rFonts w:ascii="Open Sans" w:hAnsi="Open Sans" w:cs="Open Sans"/>
                <w:b/>
                <w:color w:val="042A25"/>
                <w:sz w:val="20"/>
              </w:rPr>
              <w:t>Weekly milestone — Concentrated-Exposure Audit (Occupational)</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Populations are real and named, not generic categories.</w:t>
      </w:r>
    </w:p>
    <w:p>
      <w:pPr>
        <w:pStyle w:val="ListBullet"/>
        <w:spacing w:after="40"/>
      </w:pPr>
      <w:r>
        <w:rPr>
          <w:rFonts w:ascii="Open Sans" w:hAnsi="Open Sans" w:cs="Open Sans"/>
          <w:sz w:val="21"/>
        </w:rPr>
        <w:t>Exposures are specific (chemical, ergonomic, psychosocial, social), not vague.</w:t>
      </w:r>
    </w:p>
    <w:p>
      <w:pPr>
        <w:pStyle w:val="ListBullet"/>
        <w:spacing w:after="40"/>
      </w:pPr>
      <w:r>
        <w:rPr>
          <w:rFonts w:ascii="Open Sans" w:hAnsi="Open Sans" w:cs="Open Sans"/>
          <w:sz w:val="21"/>
        </w:rPr>
        <w:t>Under-counted populations are addressed honestly.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Inequities &amp; Determinants Audit</w:t>
      </w:r>
    </w:p>
    <w:p>
      <w:pPr>
        <w:spacing w:after="80"/>
      </w:pPr>
      <w:r>
        <w:rPr>
          <w:rFonts w:ascii="Open Sans" w:hAnsi="Open Sans" w:cs="Open Sans"/>
          <w:i/>
          <w:color w:val="555555"/>
          <w:sz w:val="18"/>
        </w:rPr>
        <w:t>Lesson 11 — Social, Economic, and Political Determinants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Skill: quantifying social gradients and naming the policy levers behind them. Document who bears your topic's burden across income, education, race/ethnicity and Indigeneity, immigration, and geography, and name the decisions that sustain or could close the gap.</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1–2 page audit: for each axis (income, education, race/ethnicity &amp; Indigeneity, immigration, geography/rural-urban), document the size and direction of the gradient using a named source.</w:t>
      </w:r>
    </w:p>
    <w:p>
      <w:pPr>
        <w:pStyle w:val="ListBullet"/>
        <w:spacing w:after="40"/>
      </w:pPr>
      <w:r>
        <w:rPr>
          <w:rFonts w:ascii="Open Sans" w:hAnsi="Open Sans" w:cs="Open Sans"/>
          <w:sz w:val="21"/>
        </w:rPr>
        <w:t>A 1-paragraph note on which axis is most consequential for your topic in the BC / Canadian context.</w:t>
      </w:r>
    </w:p>
    <w:p>
      <w:pPr>
        <w:pStyle w:val="ListBullet"/>
        <w:spacing w:after="40"/>
      </w:pPr>
      <w:r>
        <w:rPr>
          <w:rFonts w:ascii="Open Sans" w:hAnsi="Open Sans" w:cs="Open Sans"/>
          <w:sz w:val="21"/>
        </w:rPr>
        <w:t>A 1-paragraph note on the political/policy decisions that produce, sustain, or could close the gradient on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The social, economic, and political determinants are upstream, not a footnote. The skill is making the gradient quantifiable and the politics nameable: who bears the burden, by how much, and which decisions hold the gradient in place or could close 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gradient analysis: gradients across the major axes are quantified with real data, the most consequential axis is identified, and specific policy decisions are named.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All major axes engaged with explicit notes where data are absent; gradients cite real data; politics named, not generalised as 'systemic issues'.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Inequities &amp; Determinants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five axes engaged (with explicit note where data are absent).</w:t>
      </w:r>
    </w:p>
    <w:p>
      <w:pPr>
        <w:pStyle w:val="ListBullet"/>
        <w:spacing w:after="40"/>
      </w:pPr>
      <w:r>
        <w:rPr>
          <w:rFonts w:ascii="Open Sans" w:hAnsi="Open Sans" w:cs="Open Sans"/>
          <w:sz w:val="21"/>
        </w:rPr>
        <w:t>Gradients cite real data — not 'we know this is worse for X'.</w:t>
      </w:r>
    </w:p>
    <w:p>
      <w:pPr>
        <w:pStyle w:val="ListBullet"/>
        <w:spacing w:after="40"/>
      </w:pPr>
      <w:r>
        <w:rPr>
          <w:rFonts w:ascii="Open Sans" w:hAnsi="Open Sans" w:cs="Open Sans"/>
          <w:sz w:val="21"/>
        </w:rPr>
        <w:t>Politics named, not 'systemic issues' generalised.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 Integrated Health Topic Biography + Op-Ed</w:t>
      </w:r>
    </w:p>
    <w:p>
      <w:pPr>
        <w:spacing w:after="80"/>
      </w:pPr>
      <w:r>
        <w:rPr>
          <w:rFonts w:ascii="Open Sans" w:hAnsi="Open Sans" w:cs="Open Sans"/>
          <w:i/>
          <w:color w:val="555555"/>
          <w:sz w:val="18"/>
        </w:rPr>
        <w:t>Lesson 12 — Disability, Diversity, and Integrating Foundations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8–12 page Health Topic Biography along with a 1-page plain-language op-ed for a general audience.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8–12 page integrated Health Topic Biography with: (1) topic statement and definitions; (2) history and surveillance; (3) integrated determinants (lifestyle, SRH, life-course, genetic, behavioural &amp; MH, environmental, occupational); (4) inequities and politics; (5) disability and diversity considerations; (6) what the foundations do and do not yet tell us; (7) 1-page reflection.</w:t>
      </w:r>
    </w:p>
    <w:p>
      <w:pPr>
        <w:pStyle w:val="ListBullet"/>
        <w:spacing w:after="40"/>
      </w:pPr>
      <w:r>
        <w:rPr>
          <w:rFonts w:ascii="Open Sans" w:hAnsi="Open Sans" w:cs="Open Sans"/>
          <w:sz w:val="21"/>
        </w:rPr>
        <w:t>1-page plain-language op-ed (~500 words) translating the integrated picture for a general audience — written for a community newspaper or class blog.</w:t>
      </w:r>
    </w:p>
    <w:p>
      <w:pPr>
        <w:pStyle w:val="ListBullet"/>
        <w:spacing w:after="40"/>
      </w:pPr>
      <w:r>
        <w:rPr>
          <w:rFonts w:ascii="Open Sans" w:hAnsi="Open Sans" w:cs="Open Sans"/>
          <w:sz w:val="21"/>
        </w:rPr>
        <w:t>Appendix containing the refined weekly milestones, including any continuation weeks.</w:t>
      </w:r>
    </w:p>
    <w:p>
      <w:pPr>
        <w:pStyle w:val="ListBullet"/>
        <w:spacing w:after="40"/>
      </w:pPr>
      <w:r>
        <w:rPr>
          <w:rFonts w:ascii="Open Sans" w:hAnsi="Open Sans" w:cs="Open Sans"/>
          <w:sz w:val="21"/>
        </w:rPr>
        <w:t>Single citation style throughout (APA-7, AMA, or Vancouver — pick one).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This lesson brings disability and diversity in as integrative lenses and closes the foundations arc. The capstone skill now is synthesis and calibration: weaving the weekly audits into one coherent multi-determinant portrait, carrying forward any documented non-fits rather than forcing them, and matching your language to the strength of the evidence. Your final submission should read like a real biography, not eleven stapled audits.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Pr>
                <w:rFonts w:ascii="Open Sans" w:hAnsi="Open Sans" w:cs="Open Sans"/>
                <w:color w:val="042A25"/>
                <w:sz w:val="19"/>
              </w:rPr>
              <w:t>Skill demonstration</w:t>
            </w:r>
          </w:p>
        </w:tc>
        <w:tc>
          <w:tcPr>
            <w:tcW w:type="dxa" w:w="5616"/>
            <w:vAlign w:val="center"/>
            <w:tcMar>
              <w:top w:w="80" w:type="dxa"/>
              <w:bottom w:w="80" w:type="dxa"/>
              <w:left w:w="120" w:type="dxa"/>
              <w:right w:w="120" w:type="dxa"/>
            </w:tcMar>
          </w:tcPr>
          <w:p>
            <w:pPr>
              <w:spacing w:after="0"/>
            </w:pPr>
            <w:r>
              <w:rPr>
                <w:rFonts w:ascii="Open Sans" w:hAnsi="Open Sans" w:cs="Open Sans"/>
                <w:color w:val="042A25"/>
                <w:sz w:val="19"/>
              </w:rPr>
              <w:t>The student demonstrates synthesis and calibration: the weekly skills are integrated into a coherent biography, documented non-fits are carried rather than forced, and the op-ed translates the picture without jargon.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Pr>
                <w:rFonts w:ascii="Open Sans" w:hAnsi="Open Sans" w:cs="Open Sans"/>
                <w:color w:val="042A25"/>
                <w:sz w:val="19"/>
              </w:rPr>
              <w:t>Biography is integrated, not a sequence of summaries; op-ed is genuinely accessible; disability and diversity are integrated throughout, not appended.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 Integrated Health Topic Biography + Op-Ed</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Biography is integrated, not a sequence of weekly summaries.</w:t>
      </w:r>
    </w:p>
    <w:p>
      <w:pPr>
        <w:pStyle w:val="ListBullet"/>
        <w:spacing w:after="40"/>
      </w:pPr>
      <w:r>
        <w:rPr>
          <w:rFonts w:ascii="Open Sans" w:hAnsi="Open Sans" w:cs="Open Sans"/>
          <w:sz w:val="21"/>
        </w:rPr>
        <w:t>Op-ed is genuinely accessible — no undefined jargon.</w:t>
      </w:r>
    </w:p>
    <w:p>
      <w:pPr>
        <w:pStyle w:val="ListBullet"/>
        <w:spacing w:after="40"/>
      </w:pPr>
      <w:r>
        <w:rPr>
          <w:rFonts w:ascii="Open Sans" w:hAnsi="Open Sans" w:cs="Open Sans"/>
          <w:sz w:val="21"/>
        </w:rPr>
        <w:t>Disability and diversity are integrated throughout, not appended.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HSCI 130 — Foundations of Health Science  ·  Final deliverable</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The Health Topic Biography — exemplar / template outline</w:t>
      </w:r>
    </w:p>
    <w:p>
      <w:pPr>
        <w:spacing w:after="120"/>
      </w:pPr>
      <w:r>
        <w:rPr>
          <w:rFonts w:ascii="Open Sans" w:hAnsi="Open Sans" w:cs="Open Sans"/>
          <w:b w:val="0"/>
          <w:i w:val="0"/>
          <w:sz w:val="21"/>
        </w:rPr>
        <w:t>Use this outline as a starting point. You may reorganize sections, but cover all the topics below.</w:t>
      </w:r>
    </w:p>
    <w:p>
      <w:pPr>
        <w:spacing w:after="120"/>
      </w:pPr>
      <w:r>
        <w:rPr>
          <w:rFonts w:ascii="Open Sans" w:hAnsi="Open Sans" w:cs="Open Sans"/>
          <w:b w:val="0"/>
          <w:i w:val="0"/>
          <w:sz w:val="21"/>
        </w:rPr>
        <w:t>1. Topic statement &amp; definitions</w:t>
      </w:r>
    </w:p>
    <w:p>
      <w:pPr>
        <w:spacing w:after="120"/>
      </w:pPr>
      <w:r>
        <w:rPr>
          <w:rFonts w:ascii="Open Sans" w:hAnsi="Open Sans" w:cs="Open Sans"/>
          <w:b w:val="0"/>
          <w:i w:val="0"/>
          <w:sz w:val="21"/>
        </w:rPr>
        <w:t>1–2 paragraphs. State your topic, why it matters now, the populations it concerns, and the definitional choices you have made (disease vs. illness vs. state vs. behaviour). Acknowledge contested definitions where they exist.</w:t>
      </w:r>
    </w:p>
    <w:p>
      <w:pPr>
        <w:spacing w:after="120"/>
      </w:pPr>
      <w:r>
        <w:rPr>
          <w:rFonts w:ascii="Open Sans" w:hAnsi="Open Sans" w:cs="Open Sans"/>
          <w:b w:val="0"/>
          <w:i w:val="0"/>
          <w:sz w:val="21"/>
        </w:rPr>
        <w:t>2. History &amp; surveillance</w:t>
      </w:r>
    </w:p>
    <w:p>
      <w:pPr>
        <w:spacing w:after="120"/>
      </w:pPr>
      <w:r>
        <w:rPr>
          <w:rFonts w:ascii="Open Sans" w:hAnsi="Open Sans" w:cs="Open Sans"/>
          <w:b w:val="0"/>
          <w:i w:val="0"/>
          <w:sz w:val="21"/>
        </w:rPr>
        <w:t>Timeline of milestones in the recognition of your topic as a public-health concern. Named surveillance systems with their stewards, refresh cadence, and limits.</w:t>
      </w:r>
    </w:p>
    <w:p>
      <w:pPr>
        <w:spacing w:after="120"/>
      </w:pPr>
      <w:r>
        <w:rPr>
          <w:rFonts w:ascii="Open Sans" w:hAnsi="Open Sans" w:cs="Open Sans"/>
          <w:b w:val="0"/>
          <w:i w:val="0"/>
          <w:sz w:val="21"/>
        </w:rPr>
        <w:t>3. Integrated determinants</w:t>
      </w:r>
    </w:p>
    <w:p>
      <w:pPr>
        <w:spacing w:after="120"/>
      </w:pPr>
      <w:r>
        <w:rPr>
          <w:rFonts w:ascii="Open Sans" w:hAnsi="Open Sans" w:cs="Open Sans"/>
          <w:b w:val="0"/>
          <w:i w:val="0"/>
          <w:sz w:val="21"/>
        </w:rPr>
        <w:t>Pull together the per-lens audits, lifestyle (nutrition, PA, sleep), stratified reasoning, life-course, effect sizes, behavioural and mental-health, environmental, and concentrated exposure, into a coherent narrative organised by determinant strength, not by lecture order. Where a lens did not apply to your topic, carry the documented non-fit rather than forcing it. Distinguish proximal from distal.</w:t>
      </w:r>
    </w:p>
    <w:p>
      <w:pPr>
        <w:spacing w:after="120"/>
      </w:pPr>
      <w:r>
        <w:rPr>
          <w:rFonts w:ascii="Open Sans" w:hAnsi="Open Sans" w:cs="Open Sans"/>
          <w:b w:val="0"/>
          <w:i w:val="0"/>
          <w:sz w:val="21"/>
        </w:rPr>
        <w:t>4. Inequities &amp; politics</w:t>
      </w:r>
    </w:p>
    <w:p>
      <w:pPr>
        <w:spacing w:after="120"/>
      </w:pPr>
      <w:r>
        <w:rPr>
          <w:rFonts w:ascii="Open Sans" w:hAnsi="Open Sans" w:cs="Open Sans"/>
          <w:b w:val="0"/>
          <w:i w:val="0"/>
          <w:sz w:val="21"/>
        </w:rPr>
        <w:t>Audit who bears the burden and why, across income, education, race/ethnicity &amp; Indigeneity, immigration, geography. Name the political and policy decisions that produce, sustain, or could close the gradient.</w:t>
      </w:r>
    </w:p>
    <w:p>
      <w:pPr>
        <w:spacing w:after="120"/>
      </w:pPr>
      <w:r>
        <w:rPr>
          <w:rFonts w:ascii="Open Sans" w:hAnsi="Open Sans" w:cs="Open Sans"/>
          <w:b w:val="0"/>
          <w:i w:val="0"/>
          <w:sz w:val="21"/>
        </w:rPr>
        <w:t>5. Disability, diversity, and integration</w:t>
      </w:r>
    </w:p>
    <w:p>
      <w:pPr>
        <w:spacing w:after="120"/>
      </w:pPr>
      <w:r>
        <w:rPr>
          <w:rFonts w:ascii="Open Sans" w:hAnsi="Open Sans" w:cs="Open Sans"/>
          <w:b w:val="0"/>
          <w:i w:val="0"/>
          <w:sz w:val="21"/>
        </w:rPr>
        <w:t>Bring disability and diversity considerations through the entire picture, not as an appendix. What does the topic look like from the perspective of people most affected?</w:t>
      </w:r>
    </w:p>
    <w:p>
      <w:pPr>
        <w:spacing w:after="120"/>
      </w:pPr>
      <w:r>
        <w:rPr>
          <w:rFonts w:ascii="Open Sans" w:hAnsi="Open Sans" w:cs="Open Sans"/>
          <w:b w:val="0"/>
          <w:i w:val="0"/>
          <w:sz w:val="21"/>
        </w:rPr>
        <w:t>6. What the foundations do and do not yet tell us</w:t>
      </w:r>
    </w:p>
    <w:p>
      <w:pPr>
        <w:spacing w:after="120"/>
      </w:pPr>
      <w:r>
        <w:rPr>
          <w:rFonts w:ascii="Open Sans" w:hAnsi="Open Sans" w:cs="Open Sans"/>
          <w:b w:val="0"/>
          <w:i w:val="0"/>
          <w:sz w:val="21"/>
        </w:rPr>
        <w:t>Calibrated language matched to the strength of the evidence. Where is the foundation solid? Where are the gaps? What kinds of evidence does the foundations literature still lack?</w:t>
      </w:r>
    </w:p>
    <w:p>
      <w:pPr>
        <w:spacing w:after="120"/>
      </w:pPr>
      <w:r>
        <w:rPr>
          <w:rFonts w:ascii="Open Sans" w:hAnsi="Open Sans" w:cs="Open Sans"/>
          <w:b w:val="0"/>
          <w:i w:val="0"/>
          <w:sz w:val="21"/>
        </w:rPr>
        <w:t>7. Reflection (1 page)</w:t>
      </w:r>
    </w:p>
    <w:p>
      <w:pPr>
        <w:spacing w:after="120"/>
      </w:pPr>
      <w:r>
        <w:rPr>
          <w:rFonts w:ascii="Open Sans" w:hAnsi="Open Sans" w:cs="Open Sans"/>
          <w:b w:val="0"/>
          <w:i w:val="0"/>
          <w:sz w:val="21"/>
        </w:rPr>
        <w:t>What changed in your thinking from Week 1 to Week 12? Which determinant turned out to be more important than you thought? Which less?</w:t>
      </w:r>
    </w:p>
    <w:p>
      <w:pPr>
        <w:spacing w:after="120"/>
      </w:pPr>
      <w:r>
        <w:rPr>
          <w:rFonts w:ascii="Open Sans" w:hAnsi="Open Sans" w:cs="Open Sans"/>
          <w:b w:val="0"/>
          <w:i w:val="0"/>
          <w:sz w:val="21"/>
        </w:rPr>
        <w:t>8. Plain-language op-ed (1 page, ~500 words)</w:t>
      </w:r>
    </w:p>
    <w:p>
      <w:pPr>
        <w:spacing w:after="120"/>
      </w:pPr>
      <w:r>
        <w:rPr>
          <w:rFonts w:ascii="Open Sans" w:hAnsi="Open Sans" w:cs="Open Sans"/>
          <w:b w:val="0"/>
          <w:i w:val="0"/>
          <w:sz w:val="21"/>
        </w:rPr>
        <w:t>Translate the integrated picture for a general-audience venue (community newspaper, class blog, op-ed page). Bury no jargon.</w:t>
      </w:r>
    </w:p>
    <w:p>
      <w:pPr>
        <w:spacing w:after="120"/>
      </w:pPr>
      <w:r>
        <w:rPr>
          <w:rFonts w:ascii="Open Sans" w:hAnsi="Open Sans" w:cs="Open Sans"/>
          <w:b w:val="0"/>
          <w:i w:val="0"/>
          <w:sz w:val="21"/>
        </w:rPr>
        <w:t>Appendix A — Refined weekly milestones</w:t>
      </w:r>
    </w:p>
    <w:p>
      <w:pPr>
        <w:spacing w:after="120"/>
      </w:pPr>
      <w:r>
        <w:rPr>
          <w:rFonts w:ascii="Open Sans" w:hAnsi="Open Sans" w:cs="Open Sans"/>
          <w:b w:val="0"/>
          <w:i w:val="0"/>
          <w:sz w:val="21"/>
        </w:rPr>
        <w:t>The refined weekly milestones, including any continuation weeks, with cross-references to the main biography.</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All weekly milestones integrated, not stapled, including any continuation weeks.</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