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"/>
      </w:pPr>
      <w:r>
        <w:rPr>
          <w:b/>
          <w:bCs/>
          <w:color w:val="555555"/>
          <w:sz w:val="15"/>
          <w:szCs w:val="15"/>
        </w:rPr>
        <w:t xml:space="preserve">SFU · FACULTY OF HEALTH SCIENCES · INSTRUCTOR LESSON PLAN   ·   HSCI 230: Evaluating Epidemiological Research</w:t>
      </w:r>
    </w:p>
    <w:p>
      <w:pPr>
        <w:pStyle w:val="Heading2"/>
      </w:pPr>
      <w:r>
        <w:t xml:space="preserve">Lesson 3 · Introduction to Observational Studies</w:t>
      </w:r>
    </w:p>
    <w:p>
      <w:pPr>
        <w:spacing w:after="70" w:before="0" w:line="260"/>
      </w:pPr>
      <w:r>
        <w:rPr>
          <w:i/>
          <w:iCs/>
          <w:color w:val="555555"/>
        </w:rPr>
        <w:t xml:space="preserve">Term week 3  ·  Three-hour session</w:t>
      </w:r>
    </w:p>
    <w:p>
      <w:pPr>
        <w:spacing w:after="90" w:before="0" w:line="260"/>
      </w:pPr>
      <w:r>
        <w:t xml:space="preserve">Classify the observational designs and judge when a descriptive or cross-sectional study is the right tool, and when it cannot answer the question. The substitute can run this from the cues below without prior design training.</w:t>
      </w:r>
    </w:p>
    <w:p>
      <w:pPr>
        <w:pStyle w:val="Heading3"/>
      </w:pPr>
      <w:r>
        <w:t xml:space="preserve">Learning objectives</w:t>
      </w:r>
    </w:p>
    <w:p>
      <w:pPr>
        <w:pStyle w:val="ListParagraph"/>
        <w:numPr>
          <w:ilvl w:val="0"/>
          <w:numId w:val="2"/>
        </w:numPr>
        <w:spacing w:after="40" w:line="258"/>
      </w:pPr>
      <w:r>
        <w:t xml:space="preserve">Differentiate between descriptive and explanatory studies</w:t>
      </w:r>
    </w:p>
    <w:p>
      <w:pPr>
        <w:pStyle w:val="ListParagraph"/>
        <w:numPr>
          <w:ilvl w:val="0"/>
          <w:numId w:val="2"/>
        </w:numPr>
        <w:spacing w:after="40" w:line="258"/>
      </w:pPr>
      <w:r>
        <w:t xml:space="preserve">Differentiate between experimental and observational studies</w:t>
      </w:r>
    </w:p>
    <w:p>
      <w:pPr>
        <w:pStyle w:val="ListParagraph"/>
        <w:numPr>
          <w:ilvl w:val="0"/>
          <w:numId w:val="2"/>
        </w:numPr>
        <w:spacing w:after="40" w:line="258"/>
      </w:pPr>
      <w:r>
        <w:t xml:space="preserve">Describe the three main elements of the unified approach to observational study design</w:t>
      </w:r>
    </w:p>
    <w:p>
      <w:pPr>
        <w:pStyle w:val="ListParagraph"/>
        <w:numPr>
          <w:ilvl w:val="0"/>
          <w:numId w:val="2"/>
        </w:numPr>
        <w:spacing w:after="40" w:line="258"/>
      </w:pPr>
      <w:r>
        <w:t xml:space="preserve">Describe the advantages and limitations of case reports, case-series reports, and surveys</w:t>
      </w:r>
    </w:p>
    <w:p>
      <w:pPr>
        <w:pStyle w:val="ListParagraph"/>
        <w:numPr>
          <w:ilvl w:val="0"/>
          <w:numId w:val="2"/>
        </w:numPr>
        <w:spacing w:after="40" w:line="258"/>
      </w:pPr>
      <w:r>
        <w:t xml:space="preserve">Design a cross-sectional study accounting for its strengths and weaknesses</w:t>
      </w:r>
    </w:p>
    <w:p>
      <w:pPr>
        <w:pStyle w:val="ListParagraph"/>
        <w:numPr>
          <w:ilvl w:val="0"/>
          <w:numId w:val="2"/>
        </w:numPr>
        <w:spacing w:after="40" w:line="258"/>
      </w:pPr>
      <w:r>
        <w:t xml:space="preserve">Identify circumstances where a cross-sectional study is appropriate</w:t>
      </w:r>
    </w:p>
    <w:p>
      <w:pPr>
        <w:pStyle w:val="ListParagraph"/>
        <w:numPr>
          <w:ilvl w:val="0"/>
          <w:numId w:val="2"/>
        </w:numPr>
        <w:spacing w:after="40" w:line="258"/>
      </w:pPr>
      <w:r>
        <w:t xml:space="preserve">List three approaches for obtaining incidence estimates from cross-sectional prevalence data</w:t>
      </w:r>
    </w:p>
    <w:p>
      <w:pPr>
        <w:pStyle w:val="ListParagraph"/>
        <w:numPr>
          <w:ilvl w:val="0"/>
          <w:numId w:val="2"/>
        </w:numPr>
        <w:spacing w:after="40" w:line="258"/>
      </w:pPr>
      <w:r>
        <w:t xml:space="preserve">Differentiate between repeated cross-sectional studies and following a cohort in a longitudinal study</w:t>
      </w:r>
    </w:p>
    <w:p>
      <w:pPr>
        <w:pStyle w:val="ListParagraph"/>
        <w:numPr>
          <w:ilvl w:val="0"/>
          <w:numId w:val="2"/>
        </w:numPr>
        <w:spacing w:after="40" w:line="258"/>
      </w:pPr>
      <w:r>
        <w:t xml:space="preserve">Apply the STROBE checklist to reporting a cross-sectional study</w:t>
      </w:r>
    </w:p>
    <w:p>
      <w:pPr>
        <w:pStyle w:val="Heading3"/>
      </w:pPr>
      <w:r>
        <w:t xml:space="preserve">Before class (flipped preparation)</w:t>
      </w:r>
    </w:p>
    <w:p>
      <w:pPr>
        <w:spacing w:after="90" w:before="0" w:line="260"/>
      </w:pPr>
      <w:r>
        <w:t xml:space="preserve">Students complete the Lesson 3 module and its narrated walkthrough, attempt the in-module checks and reflection prompts, and bring their notes and term-project materials. No pre-reading beyond the module is required to follow this plan.</w:t>
      </w:r>
    </w:p>
    <w:p>
      <w:pPr>
        <w:pStyle w:val="Heading3"/>
      </w:pPr>
      <w:r>
        <w:t xml:space="preserve">Session at a glance</w:t>
      </w:r>
    </w:p>
    <w:tbl>
      <w:tblPr>
        <w:tblW w:type="dxa" w:w="9360"/>
        <w:tblBorders>
          <w:top w:val="single" w:color="BBBBBB" w:sz="1"/>
          <w:left w:val="single" w:color="BBBBBB" w:sz="1"/>
          <w:bottom w:val="single" w:color="BBBBBB" w:sz="1"/>
          <w:right w:val="single" w:color="BBBBBB" w:sz="1"/>
          <w:insideH w:val="single" w:color="BBBBBB" w:sz="1"/>
          <w:insideV w:val="single" w:color="BBBBBB" w:sz="1"/>
        </w:tblBorders>
      </w:tblPr>
      <w:tblGrid>
        <w:gridCol w:w="1500"/>
        <w:gridCol w:w="2860"/>
        <w:gridCol w:w="5000"/>
      </w:tblGrid>
      <w:tr>
        <w:trPr>
          <w:tblHeader/>
        </w:trPr>
        <w:tc>
          <w:tcPr>
            <w:tcW w:type="dxa" w:w="1500"/>
            <w:shd w:fill="0B7B6B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48"/>
            </w:pPr>
            <w:r>
              <w:rPr>
                <w:b/>
                <w:bCs/>
                <w:color w:val="FFFFFF"/>
                <w:sz w:val="19"/>
                <w:szCs w:val="19"/>
              </w:rPr>
              <w:t xml:space="preserve">Time</w:t>
            </w:r>
          </w:p>
        </w:tc>
        <w:tc>
          <w:tcPr>
            <w:tcW w:type="dxa" w:w="2860"/>
            <w:shd w:fill="0B7B6B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48"/>
            </w:pPr>
            <w:r>
              <w:rPr>
                <w:b/>
                <w:bCs/>
                <w:color w:val="FFFFFF"/>
                <w:sz w:val="19"/>
                <w:szCs w:val="19"/>
              </w:rPr>
              <w:t xml:space="preserve">Block</w:t>
            </w:r>
          </w:p>
        </w:tc>
        <w:tc>
          <w:tcPr>
            <w:tcW w:type="dxa" w:w="5000"/>
            <w:shd w:fill="0B7B6B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48"/>
            </w:pPr>
            <w:r>
              <w:rPr>
                <w:b/>
                <w:bCs/>
                <w:color w:val="FFFFFF"/>
                <w:sz w:val="19"/>
                <w:szCs w:val="19"/>
              </w:rPr>
              <w:t xml:space="preserve">Focus</w:t>
            </w:r>
          </w:p>
        </w:tc>
      </w:tr>
      <w:tr>
        <w:tc>
          <w:tcPr>
            <w:tcW w:type="dxa" w:w="150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before="0" w:line="260"/>
            </w:pPr>
            <w:r>
              <w:rPr>
                <w:b/>
                <w:bCs/>
                <w:sz w:val="18"/>
                <w:szCs w:val="18"/>
              </w:rPr>
              <w:t xml:space="preserve">0:00 – 0:10</w:t>
            </w:r>
          </w:p>
        </w:tc>
        <w:tc>
          <w:tcPr>
            <w:tcW w:type="dxa" w:w="286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before="0" w:line="260"/>
            </w:pPr>
            <w:r>
              <w:rPr>
                <w:b/>
                <w:bCs/>
                <w:sz w:val="18"/>
                <w:szCs w:val="18"/>
              </w:rPr>
              <w:t xml:space="preserve">Arrival and retrieval warm-up</w:t>
            </w:r>
          </w:p>
        </w:tc>
        <w:tc>
          <w:tcPr>
            <w:tcW w:type="dxa" w:w="500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before="0" w:line="260"/>
            </w:pPr>
            <w:r>
              <w:rPr>
                <w:sz w:val="18"/>
                <w:szCs w:val="18"/>
              </w:rPr>
              <w:t xml:space="preserve">Low-stakes retrieval on the pre-class module</w:t>
            </w:r>
          </w:p>
        </w:tc>
      </w:tr>
      <w:tr>
        <w:tc>
          <w:tcPr>
            <w:tcW w:type="dxa" w:w="150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before="0" w:line="260"/>
            </w:pPr>
            <w:r>
              <w:rPr>
                <w:b/>
                <w:bCs/>
                <w:sz w:val="18"/>
                <w:szCs w:val="18"/>
              </w:rPr>
              <w:t xml:space="preserve">0:10 – 0:46</w:t>
            </w:r>
          </w:p>
        </w:tc>
        <w:tc>
          <w:tcPr>
            <w:tcW w:type="dxa" w:w="286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before="0" w:line="260"/>
            </w:pPr>
            <w:r>
              <w:rPr>
                <w:b/>
                <w:bCs/>
                <w:sz w:val="18"/>
                <w:szCs w:val="18"/>
              </w:rPr>
              <w:t xml:space="preserve">Co-construction review</w:t>
            </w:r>
          </w:p>
        </w:tc>
        <w:tc>
          <w:tcPr>
            <w:tcW w:type="dxa" w:w="500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before="0" w:line="260"/>
            </w:pPr>
            <w:r>
              <w:rPr>
                <w:sz w:val="18"/>
                <w:szCs w:val="18"/>
              </w:rPr>
              <w:t xml:space="preserve">Rebuild the week's key ideas (scripted activities below)</w:t>
            </w:r>
          </w:p>
        </w:tc>
      </w:tr>
      <w:tr>
        <w:tc>
          <w:tcPr>
            <w:tcW w:type="dxa" w:w="150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before="0" w:line="260"/>
            </w:pPr>
            <w:r>
              <w:rPr>
                <w:b/>
                <w:bCs/>
                <w:sz w:val="18"/>
                <w:szCs w:val="18"/>
              </w:rPr>
              <w:t xml:space="preserve">0:46 – 0:58</w:t>
            </w:r>
          </w:p>
        </w:tc>
        <w:tc>
          <w:tcPr>
            <w:tcW w:type="dxa" w:w="286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before="0" w:line="260"/>
            </w:pPr>
            <w:r>
              <w:rPr>
                <w:b/>
                <w:bCs/>
                <w:sz w:val="18"/>
                <w:szCs w:val="18"/>
              </w:rPr>
              <w:t xml:space="preserve">Question-and-answer clinic</w:t>
            </w:r>
          </w:p>
        </w:tc>
        <w:tc>
          <w:tcPr>
            <w:tcW w:type="dxa" w:w="500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before="0" w:line="260"/>
            </w:pPr>
            <w:r>
              <w:rPr>
                <w:sz w:val="18"/>
                <w:szCs w:val="18"/>
              </w:rPr>
              <w:t xml:space="preserve">Field the anticipated questions below</w:t>
            </w:r>
          </w:p>
        </w:tc>
      </w:tr>
      <w:tr>
        <w:tc>
          <w:tcPr>
            <w:tcW w:type="dxa" w:w="150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before="0" w:line="260"/>
            </w:pPr>
            <w:r>
              <w:rPr>
                <w:b/>
                <w:bCs/>
                <w:sz w:val="18"/>
                <w:szCs w:val="18"/>
              </w:rPr>
              <w:t xml:space="preserve">0:58 – 1:08</w:t>
            </w:r>
          </w:p>
        </w:tc>
        <w:tc>
          <w:tcPr>
            <w:tcW w:type="dxa" w:w="286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before="0" w:line="260"/>
            </w:pPr>
            <w:r>
              <w:rPr>
                <w:b/>
                <w:bCs/>
                <w:sz w:val="18"/>
                <w:szCs w:val="18"/>
              </w:rPr>
              <w:t xml:space="preserve">Break</w:t>
            </w:r>
          </w:p>
        </w:tc>
        <w:tc>
          <w:tcPr>
            <w:tcW w:type="dxa" w:w="500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before="0" w:line="26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150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before="0" w:line="260"/>
            </w:pPr>
            <w:r>
              <w:rPr>
                <w:b/>
                <w:bCs/>
                <w:sz w:val="18"/>
                <w:szCs w:val="18"/>
              </w:rPr>
              <w:t xml:space="preserve">1:08 – 1:48</w:t>
            </w:r>
          </w:p>
        </w:tc>
        <w:tc>
          <w:tcPr>
            <w:tcW w:type="dxa" w:w="286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before="0" w:line="260"/>
            </w:pPr>
            <w:r>
              <w:rPr>
                <w:b/>
                <w:bCs/>
                <w:sz w:val="18"/>
                <w:szCs w:val="18"/>
              </w:rPr>
              <w:t xml:space="preserve">Applied exercise</w:t>
            </w:r>
          </w:p>
        </w:tc>
        <w:tc>
          <w:tcPr>
            <w:tcW w:type="dxa" w:w="500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before="0" w:line="260"/>
            </w:pPr>
            <w:r>
              <w:rPr>
                <w:sz w:val="18"/>
                <w:szCs w:val="18"/>
              </w:rPr>
              <w:t xml:space="preserve">Hands-on task with an answer key below</w:t>
            </w:r>
          </w:p>
        </w:tc>
      </w:tr>
      <w:tr>
        <w:tc>
          <w:tcPr>
            <w:tcW w:type="dxa" w:w="150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before="0" w:line="260"/>
            </w:pPr>
            <w:r>
              <w:rPr>
                <w:b/>
                <w:bCs/>
                <w:sz w:val="18"/>
                <w:szCs w:val="18"/>
              </w:rPr>
              <w:t xml:space="preserve">1:48 – 2:36</w:t>
            </w:r>
          </w:p>
        </w:tc>
        <w:tc>
          <w:tcPr>
            <w:tcW w:type="dxa" w:w="286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before="0" w:line="260"/>
            </w:pPr>
            <w:r>
              <w:rPr>
                <w:b/>
                <w:bCs/>
                <w:sz w:val="18"/>
                <w:szCs w:val="18"/>
              </w:rPr>
              <w:t xml:space="preserve">Capstone studio</w:t>
            </w:r>
          </w:p>
        </w:tc>
        <w:tc>
          <w:tcPr>
            <w:tcW w:type="dxa" w:w="500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before="0" w:line="260"/>
            </w:pPr>
            <w:r>
              <w:rPr>
                <w:sz w:val="18"/>
                <w:szCs w:val="18"/>
              </w:rPr>
              <w:t xml:space="preserve">Supervised term-project work (see term-project document)</w:t>
            </w:r>
          </w:p>
        </w:tc>
      </w:tr>
      <w:tr>
        <w:tc>
          <w:tcPr>
            <w:tcW w:type="dxa" w:w="150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before="0" w:line="260"/>
            </w:pPr>
            <w:r>
              <w:rPr>
                <w:b/>
                <w:bCs/>
                <w:sz w:val="18"/>
                <w:szCs w:val="18"/>
              </w:rPr>
              <w:t xml:space="preserve">2:36 – 2:41</w:t>
            </w:r>
          </w:p>
        </w:tc>
        <w:tc>
          <w:tcPr>
            <w:tcW w:type="dxa" w:w="286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before="0" w:line="260"/>
            </w:pPr>
            <w:r>
              <w:rPr>
                <w:b/>
                <w:bCs/>
                <w:sz w:val="18"/>
                <w:szCs w:val="18"/>
              </w:rPr>
              <w:t xml:space="preserve">Exit ticket and preview</w:t>
            </w:r>
          </w:p>
        </w:tc>
        <w:tc>
          <w:tcPr>
            <w:tcW w:type="dxa" w:w="500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before="0" w:line="260"/>
            </w:pPr>
            <w:r>
              <w:rPr>
                <w:sz w:val="18"/>
                <w:szCs w:val="18"/>
              </w:rPr>
              <w:t xml:space="preserve">Capture a takeaway; preview next module</w:t>
            </w:r>
          </w:p>
        </w:tc>
      </w:tr>
    </w:tbl>
    <w:p>
      <w:pPr>
        <w:pStyle w:val="Heading3"/>
      </w:pPr>
      <w:r>
        <w:t xml:space="preserve">1 · Retrieval warm-up — Four studies, two questions (10 min)</w:t>
      </w:r>
    </w:p>
    <w:p>
      <w:pPr>
        <w:spacing w:after="90" w:before="0" w:line="260"/>
      </w:pPr>
      <w:r>
        <w:rPr>
          <w:b/>
          <w:bCs/>
        </w:rPr>
        <w:t xml:space="preserve">Set-up. </w:t>
      </w:r>
      <w:r>
        <w:t xml:space="preserve">Slide with four one-line study descriptions (mix of descriptive vs explanatory and observational vs experimental).</w:t>
      </w:r>
    </w:p>
    <w:p>
      <w:pPr>
        <w:spacing w:after="30" w:before="0" w:line="260"/>
      </w:pPr>
      <w:r>
        <w:rPr>
          <w:b/>
          <w:bCs/>
        </w:rPr>
        <w:t xml:space="preserve">Run it:</w:t>
      </w:r>
    </w:p>
    <w:p>
      <w:pPr>
        <w:pStyle w:val="ListParagraph"/>
        <w:numPr>
          <w:ilvl w:val="0"/>
          <w:numId w:val="3"/>
        </w:numPr>
        <w:spacing w:after="40" w:line="258"/>
      </w:pPr>
      <w:r>
        <w:t xml:space="preserve">For each study, students decide two things: is it descriptive or explanatory, and is it observational or experimental (two minutes).</w:t>
      </w:r>
    </w:p>
    <w:p>
      <w:pPr>
        <w:pStyle w:val="ListParagraph"/>
        <w:numPr>
          <w:ilvl w:val="0"/>
          <w:numId w:val="3"/>
        </w:numPr>
        <w:spacing w:after="40" w:line="258"/>
      </w:pPr>
      <w:r>
        <w:t xml:space="preserve">Poll each; resolve disagreements using the notes.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AF3F1" w:sz="1"/>
              <w:left w:val="single" w:color="0B7B6B" w:sz="18"/>
              <w:bottom w:val="single" w:color="EAF3F1" w:sz="1"/>
              <w:right w:val="single" w:color="EAF3F1" w:sz="1"/>
            </w:tcBorders>
            <w:shd w:fill="EAF3F1" w:val="clear"/>
            <w:tcMar>
              <w:top w:type="dxa" w:w="90"/>
              <w:left w:type="dxa" w:w="150"/>
              <w:bottom w:type="dxa" w:w="90"/>
              <w:right w:type="dxa" w:w="150"/>
            </w:tcMar>
          </w:tcPr>
          <w:p>
            <w:pPr>
              <w:spacing w:after="40"/>
            </w:pPr>
            <w:r>
              <w:rPr>
                <w:b/>
                <w:bCs/>
                <w:color w:val="065C50"/>
                <w:sz w:val="19"/>
                <w:szCs w:val="19"/>
              </w:rPr>
              <w:t xml:space="preserve">What to surface (facilitator notes):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30" w:line="258"/>
            </w:pPr>
            <w:r>
              <w:t xml:space="preserve">Descriptive answers who, what, where, when (distribution); explanatory tests a hypothesised cause-effect relationship.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30" w:line="258"/>
            </w:pPr>
            <w:r>
              <w:t xml:space="preserve">Experimental means the investigator assigns the exposure; observational means nature or choice assigns 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30" w:line="258"/>
            </w:pPr>
            <w:r>
              <w:t xml:space="preserve">A study can be observational and explanatory (a cohort testing a hypothesis), so the two axes are independent.</w:t>
            </w:r>
          </w:p>
        </w:tc>
      </w:tr>
    </w:tbl>
    <w:p>
      <w:pPr>
        <w:pStyle w:val="Heading3"/>
      </w:pPr>
      <w:r>
        <w:t xml:space="preserve">2 · Co-construction review (36 min)</w:t>
      </w:r>
    </w:p>
    <w:p>
      <w:pPr>
        <w:pStyle w:val="Heading4"/>
      </w:pPr>
      <w:r>
        <w:t xml:space="preserve">Activity 1: Design classification card sort</w:t>
      </w:r>
    </w:p>
    <w:p>
      <w:pPr>
        <w:spacing w:after="30" w:before="0" w:line="260"/>
      </w:pPr>
      <w:r>
        <w:rPr>
          <w:i/>
          <w:iCs/>
          <w:color w:val="555555"/>
          <w:sz w:val="18"/>
          <w:szCs w:val="18"/>
        </w:rPr>
        <w:t xml:space="preserve">Card sort, pairs  ·  18 min</w:t>
      </w:r>
    </w:p>
    <w:p>
      <w:pPr>
        <w:spacing w:after="90" w:before="0" w:line="260"/>
      </w:pPr>
      <w:r>
        <w:rPr>
          <w:b/>
          <w:bCs/>
        </w:rPr>
        <w:t xml:space="preserve">Materials. </w:t>
      </w:r>
      <w:r>
        <w:t xml:space="preserve">Cards naming designs (case report, case series, cross-sectional/survey, case-control, cohort, ecological, randomized trial) and a grid drawn on the board.</w:t>
      </w:r>
    </w:p>
    <w:p>
      <w:pPr>
        <w:spacing w:after="30" w:before="0" w:line="260"/>
      </w:pPr>
      <w:r>
        <w:rPr>
          <w:b/>
          <w:bCs/>
        </w:rPr>
        <w:t xml:space="preserve">Run it:</w:t>
      </w:r>
    </w:p>
    <w:p>
      <w:pPr>
        <w:pStyle w:val="ListParagraph"/>
        <w:numPr>
          <w:ilvl w:val="0"/>
          <w:numId w:val="4"/>
        </w:numPr>
        <w:spacing w:after="40" w:line="258"/>
      </w:pPr>
      <w:r>
        <w:t xml:space="preserve">Pairs place each design by two features: does the investigator assign exposure, and does the design follow people over time?</w:t>
      </w:r>
    </w:p>
    <w:p>
      <w:pPr>
        <w:pStyle w:val="ListParagraph"/>
        <w:numPr>
          <w:ilvl w:val="0"/>
          <w:numId w:val="4"/>
        </w:numPr>
        <w:spacing w:after="40" w:line="258"/>
      </w:pPr>
      <w:r>
        <w:t xml:space="preserve">Pairs defend the two hardest placements to a neighbouring pair.</w:t>
      </w:r>
    </w:p>
    <w:p>
      <w:pPr>
        <w:pStyle w:val="ListParagraph"/>
        <w:numPr>
          <w:ilvl w:val="0"/>
          <w:numId w:val="4"/>
        </w:numPr>
        <w:spacing w:after="40" w:line="258"/>
      </w:pPr>
      <w:r>
        <w:t xml:space="preserve">Build the consensus grid on the board.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F3F0E9" w:sz="1"/>
              <w:left w:val="single" w:color="0B7B6B" w:sz="18"/>
              <w:bottom w:val="single" w:color="F3F0E9" w:sz="1"/>
              <w:right w:val="single" w:color="F3F0E9" w:sz="1"/>
            </w:tcBorders>
            <w:shd w:fill="F3F0E9" w:val="clear"/>
            <w:tcMar>
              <w:top w:type="dxa" w:w="90"/>
              <w:left w:type="dxa" w:w="150"/>
              <w:bottom w:type="dxa" w:w="90"/>
              <w:right w:type="dxa" w:w="150"/>
            </w:tcMar>
          </w:tcPr>
          <w:p>
            <w:pPr>
              <w:spacing w:after="40"/>
            </w:pPr>
            <w:r>
              <w:rPr>
                <w:b/>
                <w:bCs/>
                <w:color w:val="065C50"/>
                <w:sz w:val="19"/>
                <w:szCs w:val="19"/>
              </w:rPr>
              <w:t xml:space="preserve">Prompt to pose (read aloud):</w:t>
            </w:r>
          </w:p>
          <w:p>
            <w:pPr>
              <w:spacing w:after="0" w:before="0" w:line="260"/>
            </w:pPr>
            <w:r>
              <w:rPr>
                <w:i/>
                <w:iCs/>
              </w:rPr>
              <w:t xml:space="preserve">Sort these designs by whether the investigator assigns the exposure and whether the design follows people over time.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AF3F1" w:sz="1"/>
              <w:left w:val="single" w:color="0B7B6B" w:sz="18"/>
              <w:bottom w:val="single" w:color="EAF3F1" w:sz="1"/>
              <w:right w:val="single" w:color="EAF3F1" w:sz="1"/>
            </w:tcBorders>
            <w:shd w:fill="EAF3F1" w:val="clear"/>
            <w:tcMar>
              <w:top w:type="dxa" w:w="90"/>
              <w:left w:type="dxa" w:w="150"/>
              <w:bottom w:type="dxa" w:w="90"/>
              <w:right w:type="dxa" w:w="150"/>
            </w:tcMar>
          </w:tcPr>
          <w:p>
            <w:pPr>
              <w:spacing w:after="40"/>
            </w:pPr>
            <w:r>
              <w:rPr>
                <w:b/>
                <w:bCs/>
                <w:color w:val="065C50"/>
                <w:sz w:val="19"/>
                <w:szCs w:val="19"/>
              </w:rPr>
              <w:t xml:space="preserve">Facilitator talking points (the content you need):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30" w:line="258"/>
            </w:pPr>
            <w:r>
              <w:t xml:space="preserve">Only the randomized trial assigns exposure; all the others are observational.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30" w:line="258"/>
            </w:pPr>
            <w:r>
              <w:t xml:space="preserve">Cohort follows people forward over time; case-control looks back from outcome to exposure; cross-sectional is a snapshot with no time direction.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30" w:line="258"/>
            </w:pPr>
            <w:r>
              <w:t xml:space="preserve">Ecological uses group-level data, not individuals, which sets up Lesson 6.</w:t>
            </w:r>
          </w:p>
        </w:tc>
      </w:tr>
    </w:tbl>
    <w:p>
      <w:pPr>
        <w:spacing w:after="90" w:before="0" w:line="260"/>
      </w:pPr>
      <w:r>
        <w:rPr>
          <w:b/>
          <w:bCs/>
        </w:rPr>
        <w:t xml:space="preserve">Close. </w:t>
      </w:r>
      <w:r>
        <w:t xml:space="preserve">Keep the grid on the board; students will revisit it through Lessons 4 to 6.</w:t>
      </w:r>
    </w:p>
    <w:p>
      <w:pPr>
        <w:pStyle w:val="Heading4"/>
      </w:pPr>
      <w:r>
        <w:t xml:space="preserve">Activity 2: Cross-sectional build and the prevalence trap</w:t>
      </w:r>
    </w:p>
    <w:p>
      <w:pPr>
        <w:spacing w:after="30" w:before="0" w:line="260"/>
      </w:pPr>
      <w:r>
        <w:rPr>
          <w:i/>
          <w:iCs/>
          <w:color w:val="555555"/>
          <w:sz w:val="18"/>
          <w:szCs w:val="18"/>
        </w:rPr>
        <w:t xml:space="preserve">Small-group design, then discussion  ·  18 min</w:t>
      </w:r>
    </w:p>
    <w:p>
      <w:pPr>
        <w:spacing w:after="90" w:before="0" w:line="260"/>
      </w:pPr>
      <w:r>
        <w:rPr>
          <w:b/>
          <w:bCs/>
        </w:rPr>
        <w:t xml:space="preserve">Materials. </w:t>
      </w:r>
      <w:r>
        <w:t xml:space="preserve">One prompt question on the board, e.g., 'What share of first-year students have untreated dental decay, and is it linked to insurance status?'</w:t>
      </w:r>
    </w:p>
    <w:p>
      <w:pPr>
        <w:spacing w:after="30" w:before="0" w:line="260"/>
      </w:pPr>
      <w:r>
        <w:rPr>
          <w:b/>
          <w:bCs/>
        </w:rPr>
        <w:t xml:space="preserve">Run it:</w:t>
      </w:r>
    </w:p>
    <w:p>
      <w:pPr>
        <w:pStyle w:val="ListParagraph"/>
        <w:numPr>
          <w:ilvl w:val="0"/>
          <w:numId w:val="5"/>
        </w:numPr>
        <w:spacing w:after="40" w:line="258"/>
      </w:pPr>
      <w:r>
        <w:t xml:space="preserve">Groups design a quick cross-sectional study for the prompt: who, sampled how, measuring what, at one time point (six minutes).</w:t>
      </w:r>
    </w:p>
    <w:p>
      <w:pPr>
        <w:pStyle w:val="ListParagraph"/>
        <w:numPr>
          <w:ilvl w:val="0"/>
          <w:numId w:val="5"/>
        </w:numPr>
        <w:spacing w:after="40" w:line="258"/>
      </w:pPr>
      <w:r>
        <w:t xml:space="preserve">Each group states one thing the design can establish and one it cannot.</w:t>
      </w:r>
    </w:p>
    <w:p>
      <w:pPr>
        <w:pStyle w:val="ListParagraph"/>
        <w:numPr>
          <w:ilvl w:val="0"/>
          <w:numId w:val="5"/>
        </w:numPr>
        <w:spacing w:after="40" w:line="258"/>
      </w:pPr>
      <w:r>
        <w:t xml:space="preserve">Introduce why a snapshot struggles with cause and with fast-moving disease.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F3F0E9" w:sz="1"/>
              <w:left w:val="single" w:color="0B7B6B" w:sz="18"/>
              <w:bottom w:val="single" w:color="F3F0E9" w:sz="1"/>
              <w:right w:val="single" w:color="F3F0E9" w:sz="1"/>
            </w:tcBorders>
            <w:shd w:fill="F3F0E9" w:val="clear"/>
            <w:tcMar>
              <w:top w:type="dxa" w:w="90"/>
              <w:left w:type="dxa" w:w="150"/>
              <w:bottom w:type="dxa" w:w="90"/>
              <w:right w:type="dxa" w:w="150"/>
            </w:tcMar>
          </w:tcPr>
          <w:p>
            <w:pPr>
              <w:spacing w:after="40"/>
            </w:pPr>
            <w:r>
              <w:rPr>
                <w:b/>
                <w:bCs/>
                <w:color w:val="065C50"/>
                <w:sz w:val="19"/>
                <w:szCs w:val="19"/>
              </w:rPr>
              <w:t xml:space="preserve">Prompt to pose (read aloud):</w:t>
            </w:r>
          </w:p>
          <w:p>
            <w:pPr>
              <w:spacing w:after="0" w:before="0" w:line="260"/>
            </w:pPr>
            <w:r>
              <w:rPr>
                <w:i/>
                <w:iCs/>
              </w:rPr>
              <w:t xml:space="preserve">Design a one-snapshot study to answer this, then tell me what it can and cannot establish.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AF3F1" w:sz="1"/>
              <w:left w:val="single" w:color="0B7B6B" w:sz="18"/>
              <w:bottom w:val="single" w:color="EAF3F1" w:sz="1"/>
              <w:right w:val="single" w:color="EAF3F1" w:sz="1"/>
            </w:tcBorders>
            <w:shd w:fill="EAF3F1" w:val="clear"/>
            <w:tcMar>
              <w:top w:type="dxa" w:w="90"/>
              <w:left w:type="dxa" w:w="150"/>
              <w:bottom w:type="dxa" w:w="90"/>
              <w:right w:type="dxa" w:w="150"/>
            </w:tcMar>
          </w:tcPr>
          <w:p>
            <w:pPr>
              <w:spacing w:after="40"/>
            </w:pPr>
            <w:r>
              <w:rPr>
                <w:b/>
                <w:bCs/>
                <w:color w:val="065C50"/>
                <w:sz w:val="19"/>
                <w:szCs w:val="19"/>
              </w:rPr>
              <w:t xml:space="preserve">Facilitator talking points (the content you need):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30" w:line="258"/>
            </w:pPr>
            <w:r>
              <w:t xml:space="preserve">Cross-sectional measures prevalence and can show association, but cannot establish that exposure preceded outcome (temporality).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30" w:line="258"/>
            </w:pPr>
            <w:r>
              <w:t xml:space="preserve">It misses short or rapidly fatal conditions, because prevalence reflects both incidence and duration.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30" w:line="258"/>
            </w:pPr>
            <w:r>
              <w:t xml:space="preserve">Three routes to incidence from prevalence: repeat the survey over time, use prevalence with average duration (P is roughly incidence times duration in steady state), or follow a cohort instead.</w:t>
            </w:r>
          </w:p>
        </w:tc>
      </w:tr>
    </w:tbl>
    <w:p>
      <w:pPr>
        <w:spacing w:after="90" w:before="0" w:line="260"/>
      </w:pPr>
      <w:r>
        <w:rPr>
          <w:b/>
          <w:bCs/>
        </w:rPr>
        <w:t xml:space="preserve">Close. </w:t>
      </w:r>
      <w:r>
        <w:t xml:space="preserve">Students note whether any of their candidate evidence is cross-sectional and what that limits.</w:t>
      </w:r>
    </w:p>
    <w:p>
      <w:pPr>
        <w:pStyle w:val="Heading3"/>
      </w:pPr>
      <w:r>
        <w:t xml:space="preserve">3 · Question-and-answer clinic (12 min)</w:t>
      </w:r>
    </w:p>
    <w:p>
      <w:pPr>
        <w:spacing w:after="50" w:before="0" w:line="260"/>
      </w:pPr>
      <w:r>
        <w:t xml:space="preserve">Invite the points students flagged in their pre-class prep. The questions below are the ones most likely to come up; model answers follow each so you can field them cold.</w:t>
      </w:r>
    </w:p>
    <w:p>
      <w:pPr>
        <w:spacing w:after="20" w:before="0" w:line="260"/>
      </w:pPr>
      <w:r>
        <w:rPr>
          <w:b/>
          <w:bCs/>
          <w:color w:val="A3002A"/>
        </w:rPr>
        <w:t xml:space="preserve">Q.  </w:t>
      </w:r>
      <w:r>
        <w:rPr>
          <w:b/>
          <w:bCs/>
        </w:rPr>
        <w:t xml:space="preserve">Prevalence vs incidence: why does the difference matter so much?</w:t>
      </w:r>
    </w:p>
    <w:p>
      <w:pPr>
        <w:spacing w:after="80" w:before="0" w:line="260"/>
      </w:pPr>
      <w:r>
        <w:rPr>
          <w:b/>
          <w:bCs/>
          <w:color w:val="0B7B6B"/>
        </w:rPr>
        <w:t xml:space="preserve">A.  </w:t>
      </w:r>
      <w:r>
        <w:t xml:space="preserve">Incidence is the rate of new cases over time; prevalence is the share of existing cases at a moment. Prevalence equals incidence times average duration in steady state, so a high prevalence can reflect either many new cases or a long-lasting condition. Confusing them leads to wrong conclusions about risk and about what an intervention changed.</w:t>
      </w:r>
    </w:p>
    <w:p>
      <w:pPr>
        <w:spacing w:after="20" w:before="0" w:line="260"/>
      </w:pPr>
      <w:r>
        <w:rPr>
          <w:b/>
          <w:bCs/>
          <w:color w:val="A3002A"/>
        </w:rPr>
        <w:t xml:space="preserve">Q.  </w:t>
      </w:r>
      <w:r>
        <w:rPr>
          <w:b/>
          <w:bCs/>
        </w:rPr>
        <w:t xml:space="preserve">Why can't a cross-sectional study show causation?</w:t>
      </w:r>
    </w:p>
    <w:p>
      <w:pPr>
        <w:spacing w:after="80" w:before="0" w:line="260"/>
      </w:pPr>
      <w:r>
        <w:rPr>
          <w:b/>
          <w:bCs/>
          <w:color w:val="0B7B6B"/>
        </w:rPr>
        <w:t xml:space="preserve">A.  </w:t>
      </w:r>
      <w:r>
        <w:t xml:space="preserve">It measures exposure and outcome at the same instant, so you usually cannot tell which came first. Reverse causation is wide open: the outcome may have changed the exposure. It is excellent for describing distribution and generating hypotheses, not for confirming cause.</w:t>
      </w:r>
    </w:p>
    <w:p>
      <w:pPr>
        <w:spacing w:after="20" w:before="0" w:line="260"/>
      </w:pPr>
      <w:r>
        <w:rPr>
          <w:b/>
          <w:bCs/>
          <w:color w:val="A3002A"/>
        </w:rPr>
        <w:t xml:space="preserve">Q.  </w:t>
      </w:r>
      <w:r>
        <w:rPr>
          <w:b/>
          <w:bCs/>
        </w:rPr>
        <w:t xml:space="preserve">What is STROBE and do students need to memorise it?</w:t>
      </w:r>
    </w:p>
    <w:p>
      <w:pPr>
        <w:spacing w:after="80" w:before="0" w:line="260"/>
      </w:pPr>
      <w:r>
        <w:rPr>
          <w:b/>
          <w:bCs/>
          <w:color w:val="0B7B6B"/>
        </w:rPr>
        <w:t xml:space="preserve">A.  </w:t>
      </w:r>
      <w:r>
        <w:t xml:space="preserve">STROBE is a reporting checklist for observational studies (cohort, case-control, cross-sectional). They do not memorise it; they use it as a lens to ask whether a paper reported what it should have. We apply it today on a real report.</w:t>
      </w:r>
    </w:p>
    <w:p>
      <w:pPr>
        <w:pStyle w:val="Heading3"/>
      </w:pPr>
      <w:r>
        <w:t xml:space="preserve">4 · Applied exercise — STROBE spot-check: auditing a cross-sectional report (40 min)</w:t>
      </w:r>
    </w:p>
    <w:p>
      <w:pPr>
        <w:spacing w:after="90" w:before="0" w:line="260"/>
      </w:pPr>
      <w:r>
        <w:rPr>
          <w:b/>
          <w:bCs/>
        </w:rPr>
        <w:t xml:space="preserve">Materials. </w:t>
      </w:r>
      <w:r>
        <w:t xml:space="preserve">A one-page excerpt from a (fictional, self-contained) cross-sectional report is provided below, together with a trimmed ten-item STROBE checklist. Nothing needs to be searched for; the excerpt and checklist are all you need.
EXCERPT — "Sleep duration and self-reported anxiety among undergraduates: a cross-sectional survey."
Methods (verbatim): "We posted a link to an online questionnaire on three university social-media pages in March 2024. The first 500 students who responded were included. The questionnaire asked how many hours they usually sleep and whether they 'often feel anxious' (yes/no). We compared the proportion reporting anxiety between students sleeping under 6 hours and those sleeping 6 hours or more."
Results (verbatim): "Of 500 respondents, 220 reported sleeping under 6 hours. Anxiety was reported by 132 of the 220 short sleepers (60%) and by 84 of the 280 longer sleepers (30%). The difference was statistically significant. We conclude that short sleep causes anxiety in undergraduates and recommend campus sleep programmes."
TRIMMED 10-ITEM STROBE CHECKLIST.
1. Title/abstract states design (cross-sectional).
2. Background/objectives stated.
3. Setting, locations, and dates given.
4. Source population and how participants were selected (sampling frame).
5. Eligibility criteria.
6. Variables clearly defined (exposure and outcome).
7. Measurement: how exposure and outcome were measured (validity).
8. Response rate / number approached vs. included.
9. Results: numbers and an appropriate effect measure with precision.
10. Limitations, including direction of potential bias and reverse causation.</w:t>
      </w:r>
    </w:p>
    <w:p>
      <w:pPr>
        <w:spacing w:after="90" w:before="0" w:line="260"/>
      </w:pPr>
      <w:r>
        <w:rPr>
          <w:b/>
          <w:bCs/>
        </w:rPr>
        <w:t xml:space="preserve">Task (for students). </w:t>
      </w:r>
      <w:r>
        <w:t xml:space="preserve">Audit the provided excerpt against the ten-item STROBE checklist. Mark each item as Met, Missing, or Fudged, then name the single omission that most threatens the study's credibility and state the specific bias it hides.</w:t>
      </w:r>
    </w:p>
    <w:p>
      <w:pPr>
        <w:spacing w:after="30" w:before="0" w:line="260"/>
      </w:pPr>
      <w:r>
        <w:rPr>
          <w:b/>
          <w:bCs/>
        </w:rPr>
        <w:t xml:space="preserve">Student instructions:</w:t>
      </w:r>
    </w:p>
    <w:p>
      <w:pPr>
        <w:pStyle w:val="ListParagraph"/>
        <w:numPr>
          <w:ilvl w:val="0"/>
          <w:numId w:val="6"/>
        </w:numPr>
        <w:spacing w:after="40" w:line="258"/>
      </w:pPr>
      <w:r>
        <w:t xml:space="preserve">Read the excerpt once for the claim, then re-read the Methods for how participants were found and how sleep and anxiety were measured.</w:t>
      </w:r>
    </w:p>
    <w:p>
      <w:pPr>
        <w:pStyle w:val="ListParagraph"/>
        <w:numPr>
          <w:ilvl w:val="0"/>
          <w:numId w:val="6"/>
        </w:numPr>
        <w:spacing w:after="40" w:line="258"/>
      </w:pPr>
      <w:r>
        <w:t xml:space="preserve">Go through the ten checklist items in order. For each, write Met, Missing, or Fudged, with a four-to-six word reason drawn from the excerpt.</w:t>
      </w:r>
    </w:p>
    <w:p>
      <w:pPr>
        <w:pStyle w:val="ListParagraph"/>
        <w:numPr>
          <w:ilvl w:val="0"/>
          <w:numId w:val="6"/>
        </w:numPr>
        <w:spacing w:after="40" w:line="258"/>
      </w:pPr>
      <w:r>
        <w:t xml:space="preserve">Flag any item where wording sounds complete but hides a gap (for example, '500 respondents' given with no count of how many were approached is a Fudged item 8).</w:t>
      </w:r>
    </w:p>
    <w:p>
      <w:pPr>
        <w:pStyle w:val="ListParagraph"/>
        <w:numPr>
          <w:ilvl w:val="0"/>
          <w:numId w:val="6"/>
        </w:numPr>
        <w:spacing w:after="40" w:line="258"/>
      </w:pPr>
      <w:r>
        <w:t xml:space="preserve">Check item 10 specifically: does the report acknowledge that anxious students might sleep less (reverse causation), or that a social-media convenience sample is not the source population?</w:t>
      </w:r>
    </w:p>
    <w:p>
      <w:pPr>
        <w:pStyle w:val="ListParagraph"/>
        <w:numPr>
          <w:ilvl w:val="0"/>
          <w:numId w:val="6"/>
        </w:numPr>
        <w:spacing w:after="40" w:line="258"/>
      </w:pPr>
      <w:r>
        <w:t xml:space="preserve">Across your Missing and Fudged items, pick the single one that most undermines the causal conclusion and name the bias it conceals.</w:t>
      </w:r>
    </w:p>
    <w:p>
      <w:pPr>
        <w:pStyle w:val="ListParagraph"/>
        <w:numPr>
          <w:ilvl w:val="0"/>
          <w:numId w:val="6"/>
        </w:numPr>
        <w:spacing w:after="40" w:line="258"/>
      </w:pPr>
      <w:r>
        <w:t xml:space="preserve">Write a one-sentence verdict in the form: 'The most damaging omission is X, because it hides Y.'</w:t>
      </w:r>
    </w:p>
    <w:p>
      <w:pPr>
        <w:pStyle w:val="ListParagraph"/>
        <w:numPr>
          <w:ilvl w:val="0"/>
          <w:numId w:val="6"/>
        </w:numPr>
        <w:spacing w:after="40" w:line="258"/>
      </w:pPr>
      <w:r>
        <w:t xml:space="preserve">Compare verdicts with a neighbouring group and reconcile any disagreement about which omission ranks first.</w:t>
      </w:r>
    </w:p>
    <w:p>
      <w:pPr>
        <w:pStyle w:val="Heading4"/>
      </w:pPr>
      <w:r>
        <w:t xml:space="preserve">Worked example — present to students</w:t>
      </w:r>
    </w:p>
    <w:p>
      <w:pPr>
        <w:spacing w:after="90" w:before="0" w:line="260"/>
      </w:pPr>
      <w:r>
        <w:rPr>
          <w:b/>
          <w:bCs/>
        </w:rPr>
        <w:t xml:space="preserve">Given. </w:t>
      </w:r>
      <w:r>
        <w:t xml:space="preserve">A cross-sectional report studies whether vitamin use is associated with self-rated health. Methods: "We surveyed 300 shoppers leaving a health-food store on weekday mornings, asking whether they take daily vitamins and to rate their health as good or poor." Results: "240 of 300 took vitamins; 90% of vitamin users rated their health good versus 55% of non-users. Vitamins improve health." The report gives no source population, no count of people approached, and no limitations.</w:t>
      </w:r>
    </w:p>
    <w:p>
      <w:pPr>
        <w:spacing w:after="20" w:before="0" w:line="260"/>
      </w:pPr>
      <w:r>
        <w:rPr>
          <w:b/>
          <w:bCs/>
        </w:rPr>
        <w:t xml:space="preserve">Solution (walk through on the board):</w:t>
      </w:r>
    </w:p>
    <w:p>
      <w:pPr>
        <w:pStyle w:val="ListParagraph"/>
        <w:numPr>
          <w:ilvl w:val="0"/>
          <w:numId w:val="7"/>
        </w:numPr>
        <w:spacing w:after="40" w:line="258"/>
      </w:pPr>
      <w:r>
        <w:t xml:space="preserve">Item 3 (setting/dates): partly Met. The location is given (a health-food store, weekday mornings) but no calendar dates.</w:t>
      </w:r>
    </w:p>
    <w:p>
      <w:pPr>
        <w:pStyle w:val="ListParagraph"/>
        <w:numPr>
          <w:ilvl w:val="0"/>
          <w:numId w:val="7"/>
        </w:numPr>
        <w:spacing w:after="40" w:line="258"/>
      </w:pPr>
      <w:r>
        <w:t xml:space="preserve">Item 4 (source population/sampling frame): Missing. Shoppers at one health-food store are a convenience sample, not a defined population; who is represented is unstated.</w:t>
      </w:r>
    </w:p>
    <w:p>
      <w:pPr>
        <w:pStyle w:val="ListParagraph"/>
        <w:numPr>
          <w:ilvl w:val="0"/>
          <w:numId w:val="7"/>
        </w:numPr>
        <w:spacing w:after="40" w:line="258"/>
      </w:pPr>
      <w:r>
        <w:t xml:space="preserve">Item 8 (response rate): Missing. We are told 300 were surveyed but not how many were approached, so non-response cannot be judged.</w:t>
      </w:r>
    </w:p>
    <w:p>
      <w:pPr>
        <w:pStyle w:val="ListParagraph"/>
        <w:numPr>
          <w:ilvl w:val="0"/>
          <w:numId w:val="7"/>
        </w:numPr>
        <w:spacing w:after="40" w:line="258"/>
      </w:pPr>
      <w:r>
        <w:t xml:space="preserve">Item 10 (limitations/reverse causation): Missing. No acknowledgement that healthier or wealthier people self-select into a health-food store, nor that the design cannot show direction.</w:t>
      </w:r>
    </w:p>
    <w:p>
      <w:pPr>
        <w:pStyle w:val="ListParagraph"/>
        <w:numPr>
          <w:ilvl w:val="0"/>
          <w:numId w:val="7"/>
        </w:numPr>
        <w:spacing w:after="40" w:line="258"/>
      </w:pPr>
      <w:r>
        <w:t xml:space="preserve">Ranking: among the missing items, the undefined source population (item 4) is most damaging because the sample is pre-selected for health-consciousness, which inflates the vitamin-health association.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FBF1E0" w:sz="1"/>
              <w:left w:val="single" w:color="0B7B6B" w:sz="18"/>
              <w:bottom w:val="single" w:color="FBF1E0" w:sz="1"/>
              <w:right w:val="single" w:color="FBF1E0" w:sz="1"/>
            </w:tcBorders>
            <w:shd w:fill="FBF1E0" w:val="clear"/>
            <w:tcMar>
              <w:top w:type="dxa" w:w="90"/>
              <w:left w:type="dxa" w:w="150"/>
              <w:bottom w:type="dxa" w:w="90"/>
              <w:right w:type="dxa" w:w="150"/>
            </w:tcMar>
          </w:tcPr>
          <w:p>
            <w:pPr>
              <w:spacing w:after="40"/>
            </w:pPr>
            <w:r>
              <w:rPr>
                <w:b/>
                <w:bCs/>
                <w:color w:val="065C50"/>
                <w:sz w:val="19"/>
                <w:szCs w:val="19"/>
              </w:rPr>
              <w:t xml:space="preserve">Answer:</w:t>
            </w:r>
          </w:p>
          <w:p>
            <w:pPr>
              <w:spacing w:after="0" w:before="0" w:line="260"/>
            </w:pPr>
            <w:r>
              <w:t xml:space="preserve">The most damaging omission is the missing source population and sampling frame (item 4), because it hides selection bias: health-food-store shoppers are systematically healthier and more health-conscious than the general population, so the vitamin-health link is exaggerated rather than estimated.</w:t>
            </w:r>
          </w:p>
        </w:tc>
      </w:tr>
    </w:tbl>
    <w:p>
      <w:pPr>
        <w:pStyle w:val="Heading4"/>
      </w:pPr>
      <w:r>
        <w:t xml:space="preserve">Assignment practice — hand out</w:t>
      </w:r>
    </w:p>
    <w:p>
      <w:pPr>
        <w:spacing w:after="20" w:before="0" w:line="260"/>
      </w:pPr>
      <w:r>
        <w:rPr>
          <w:b/>
          <w:bCs/>
          <w:color w:val="065C50"/>
        </w:rPr>
        <w:t xml:space="preserve">Practice 1: the main excerpt (sleep and anxiety).  </w:t>
      </w:r>
      <w:r>
        <w:t xml:space="preserve">Use the sleep-and-anxiety excerpt from the materials above. Methods: link posted on three university social-media pages, March 2024, first 500 respondents included; sleep self-reported in hours; anxiety from a single yes/no item ('often feel anxious'). Results: 132/220 short sleepers (60%) versus 84/280 longer sleepers (30%) reported anxiety; difference significant; authors conclude short sleep causes anxiety.</w:t>
      </w:r>
    </w:p>
    <w:p>
      <w:pPr>
        <w:spacing w:after="20" w:before="0" w:line="260"/>
      </w:pPr>
      <w:r>
        <w:rPr>
          <w:b/>
          <w:bCs/>
          <w:i/>
          <w:iCs/>
        </w:rPr>
        <w:t xml:space="preserve">Task.  </w:t>
      </w:r>
      <w:r>
        <w:t xml:space="preserve">Mark items 4, 7, 8, and 10 as Met, Missing, or Fudged with a brief reason, then name the single omission that most threatens the study's credibility and the bias it hides.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FBF1E0" w:sz="1"/>
              <w:left w:val="single" w:color="0B7B6B" w:sz="18"/>
              <w:bottom w:val="single" w:color="FBF1E0" w:sz="1"/>
              <w:right w:val="single" w:color="FBF1E0" w:sz="1"/>
            </w:tcBorders>
            <w:shd w:fill="FBF1E0" w:val="clear"/>
            <w:tcMar>
              <w:top w:type="dxa" w:w="90"/>
              <w:left w:type="dxa" w:w="150"/>
              <w:bottom w:type="dxa" w:w="90"/>
              <w:right w:type="dxa" w:w="150"/>
            </w:tcMar>
          </w:tcPr>
          <w:p>
            <w:pPr>
              <w:spacing w:after="40"/>
            </w:pPr>
            <w:r>
              <w:rPr>
                <w:b/>
                <w:bCs/>
                <w:color w:val="065C50"/>
                <w:sz w:val="19"/>
                <w:szCs w:val="19"/>
              </w:rPr>
              <w:t xml:space="preserve">Solution (answer key):</w:t>
            </w:r>
          </w:p>
          <w:p>
            <w:pPr>
              <w:spacing w:after="0" w:before="0" w:line="260"/>
            </w:pPr>
            <w:r>
              <w:t xml:space="preserve">Item 4 (source population/sampling frame): Fudged/Missing. The frame is whoever saw three social-media posts and chose to click, a self-selected convenience sample, not a defined undergraduate population. Item 7 (measurement/validity): Missing. A single unvalidated yes/no anxiety item and self-reported sleep, with no validated instrument, so outcome measurement is weak. Item 8 (response rate): Missing/Fudged. '500 respondents' is reported but not how many saw or were approached, so the response rate is unknown and non-response bias cannot be judged. Item 10 (limitations/reverse causation): Missing. No limitations section; critically, the design cannot distinguish short sleep causing anxiety from anxiety causing short sleep (reverse causation), and the causal conclusion is unsupported. Most damaging omission: the absence of any limitation acknowledging reverse causation (item 10), because a cross-sectional design measures exposure and outcome at the same time and cannot establish that short sleep precedes (let alone causes) anxiety; anxious students plausibly sleep less. Selection bias from the social-media convenience sample (item 4) is a strong second. The 60% versus 30% contrast (a prevalence ratio of 2.0) is real in the sample but cannot bear the word 'causes'.</w:t>
            </w:r>
          </w:p>
        </w:tc>
      </w:tr>
    </w:tbl>
    <w:p>
      <w:pPr>
        <w:spacing w:after="20" w:before="0" w:line="260"/>
      </w:pPr>
      <w:r>
        <w:rPr>
          <w:b/>
          <w:bCs/>
          <w:color w:val="065C50"/>
        </w:rPr>
        <w:t xml:space="preserve">Practice 2: a screening-survey excerpt.  </w:t>
      </w:r>
      <w:r>
        <w:t xml:space="preserve">A cross-sectional report: "Hearing loss and social isolation in older adults." Methods: "We mailed a questionnaire to all 4,000 residents aged 65+ on a regional registry in 2023; 2,600 returned it (65%). Hearing loss was defined by a validated 10-item screening scale; social isolation by the validated Lubben Social Network Scale. We report the prevalence ratio of isolation comparing those who screened positive versus negative for hearing loss." Results: "Isolation prevalence was 28% among those screening positive for hearing loss and 14% among those screening negative (prevalence ratio 2.0, 95% CI 1.7 to 2.4)." Limitations: "Cross-sectional design cannot establish temporality; non-responders may differ from responders."</w:t>
      </w:r>
    </w:p>
    <w:p>
      <w:pPr>
        <w:spacing w:after="20" w:before="0" w:line="260"/>
      </w:pPr>
      <w:r>
        <w:rPr>
          <w:b/>
          <w:bCs/>
          <w:i/>
          <w:iCs/>
        </w:rPr>
        <w:t xml:space="preserve">Task.  </w:t>
      </w:r>
      <w:r>
        <w:t xml:space="preserve">Mark items 4, 7, 8, and 10 as Met, Missing, or Fudged with a brief reason, then state whether this report is more credible than the sleep-and-anxiety report and why.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FBF1E0" w:sz="1"/>
              <w:left w:val="single" w:color="0B7B6B" w:sz="18"/>
              <w:bottom w:val="single" w:color="FBF1E0" w:sz="1"/>
              <w:right w:val="single" w:color="FBF1E0" w:sz="1"/>
            </w:tcBorders>
            <w:shd w:fill="FBF1E0" w:val="clear"/>
            <w:tcMar>
              <w:top w:type="dxa" w:w="90"/>
              <w:left w:type="dxa" w:w="150"/>
              <w:bottom w:type="dxa" w:w="90"/>
              <w:right w:type="dxa" w:w="150"/>
            </w:tcMar>
          </w:tcPr>
          <w:p>
            <w:pPr>
              <w:spacing w:after="40"/>
            </w:pPr>
            <w:r>
              <w:rPr>
                <w:b/>
                <w:bCs/>
                <w:color w:val="065C50"/>
                <w:sz w:val="19"/>
                <w:szCs w:val="19"/>
              </w:rPr>
              <w:t xml:space="preserve">Solution (answer key):</w:t>
            </w:r>
          </w:p>
          <w:p>
            <w:pPr>
              <w:spacing w:after="0" w:before="0" w:line="260"/>
            </w:pPr>
            <w:r>
              <w:t xml:space="preserve">Item 4 (source population/sampling frame): Met. The source population is defined (all registry residents aged 65+) and the sampling frame is the full registry, so the population represented is clear. Item 7 (measurement/validity): Met. Both exposure and outcome use named validated instruments (a 10-item hearing screen; the Lubben scale), unlike a single unvalidated yes/no item. Item 8 (response rate): Met. 2,600 of 4,000 returned the questionnaire, an explicit 65% response rate. Item 10 (limitations/reverse causation): Met. The report states the design cannot establish temporality and flags possible non-response differences. Verdict: this report is clearly more credible than the sleep-and-anxiety report. It defines its population, uses validated measures, reports a response rate, gives an effect measure with a confidence interval (prevalence ratio 2.0, 95% CI 1.7 to 2.4), and acknowledges the temporality and non-response limitations rather than leaping to causation. The remaining concern is the same inherent one for any cross-sectional study: the prevalence ratio is an association, and the 65% response rate still leaves room for non-response bias, which the authors appropriately flag rather than conceal.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AF3F1" w:sz="1"/>
              <w:left w:val="single" w:color="0B7B6B" w:sz="18"/>
              <w:bottom w:val="single" w:color="EAF3F1" w:sz="1"/>
              <w:right w:val="single" w:color="EAF3F1" w:sz="1"/>
            </w:tcBorders>
            <w:shd w:fill="EAF3F1" w:val="clear"/>
            <w:tcMar>
              <w:top w:type="dxa" w:w="90"/>
              <w:left w:type="dxa" w:w="150"/>
              <w:bottom w:type="dxa" w:w="90"/>
              <w:right w:type="dxa" w:w="150"/>
            </w:tcMar>
          </w:tcPr>
          <w:p>
            <w:pPr>
              <w:spacing w:after="40"/>
            </w:pPr>
            <w:r>
              <w:rPr>
                <w:b/>
                <w:bCs/>
                <w:color w:val="065C50"/>
                <w:sz w:val="19"/>
                <w:szCs w:val="19"/>
              </w:rPr>
              <w:t xml:space="preserve">What good work looks like:</w:t>
            </w:r>
          </w:p>
          <w:p>
            <w:pPr>
              <w:spacing w:after="0" w:before="0" w:line="260"/>
            </w:pPr>
            <w:r>
              <w:t xml:space="preserve">There is no single perfect answer key for the rankings, but every item mark must cite a phrase from the excerpt, and the named most-damaging omission must be tied to a specific bias. For the sleep-and-anxiety excerpt, strong work flags item 10 (no limitations / reverse causation) and item 4 (social-media convenience sample) as the worst, recognises item 7 (single unvalidated yes/no anxiety item, self-reported sleep) as weak measurement, and notes item 8 (respondents reported but denominator approached unknown). The 60% vs 30% figures give a correct sample prevalence ratio of 2.0, which is real but only associational; do not let students restate the authors' word 'causes'. Common errors to correct: accepting the causal conclusion because the difference is 'statistically significant'; marking item 8 Met because a number (500) appears, when the denominator approached is missing (that is Fudged, not Met); confusing missing limitations with a study that has no limitations; ranking reverse causation below minor reporting gaps. The screening-survey assignment is the contrast case where the same prevalence ratio of 2.0 is reported responsibly (defined frame, validated scales, 65% response, CI, honest limitations), so students see that good reporting and bad reporting can carry the identical number.</w:t>
            </w:r>
          </w:p>
        </w:tc>
      </w:tr>
    </w:tbl>
    <w:p>
      <w:pPr>
        <w:spacing w:after="90" w:before="0" w:line="260"/>
      </w:pPr>
      <w:r>
        <w:rPr>
          <w:b/>
          <w:bCs/>
        </w:rPr>
        <w:t xml:space="preserve">Debrief. </w:t>
      </w:r>
      <w:r>
        <w:t xml:space="preserve">Each missing STROBE item hides a specific threat to validity; the sleep report's fatal flaw is reverse causation dressed as causation, which is exactly the appraisal habit the term project rewards.</w:t>
      </w:r>
    </w:p>
    <w:p>
      <w:pPr>
        <w:pStyle w:val="Heading3"/>
      </w:pPr>
      <w:r>
        <w:t xml:space="preserve">5 · Capstone studio (48 min)</w:t>
      </w:r>
    </w:p>
    <w:p>
      <w:pPr>
        <w:spacing w:after="30" w:before="0" w:line="260"/>
      </w:pPr>
      <w:r>
        <w:rPr>
          <w:b/>
          <w:bCs/>
        </w:rPr>
        <w:t xml:space="preserve">Run it:</w:t>
      </w:r>
    </w:p>
    <w:p>
      <w:pPr>
        <w:pStyle w:val="ListParagraph"/>
        <w:numPr>
          <w:ilvl w:val="0"/>
          <w:numId w:val="8"/>
        </w:numPr>
        <w:spacing w:after="40" w:line="258"/>
      </w:pPr>
      <w:r>
        <w:t xml:space="preserve">Open the term-project document to Part 2, Week 3 and read the milestone aloud.</w:t>
      </w:r>
    </w:p>
    <w:p>
      <w:pPr>
        <w:pStyle w:val="ListParagraph"/>
        <w:numPr>
          <w:ilvl w:val="0"/>
          <w:numId w:val="8"/>
        </w:numPr>
        <w:spacing w:after="40" w:line="258"/>
      </w:pPr>
      <w:r>
        <w:t xml:space="preserve">Students lock their review question and draft a reproducible search strategy (databases, terms, limits).</w:t>
      </w:r>
    </w:p>
    <w:p>
      <w:pPr>
        <w:pStyle w:val="ListParagraph"/>
        <w:numPr>
          <w:ilvl w:val="0"/>
          <w:numId w:val="8"/>
        </w:numPr>
        <w:spacing w:after="40" w:line="258"/>
      </w:pPr>
      <w:r>
        <w:t xml:space="preserve">Circulate with one test: 'Hand your search to the next group; can they run it and get your number of hits?'</w:t>
      </w:r>
    </w:p>
    <w:p>
      <w:pPr>
        <w:pStyle w:val="ListParagraph"/>
        <w:numPr>
          <w:ilvl w:val="0"/>
          <w:numId w:val="8"/>
        </w:numPr>
        <w:spacing w:after="40" w:line="258"/>
      </w:pPr>
      <w:r>
        <w:t xml:space="preserve">Mini-conference prompt: 'What will you do with the studies your search misses?'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AF3F1" w:sz="1"/>
              <w:left w:val="single" w:color="0B7B6B" w:sz="18"/>
              <w:bottom w:val="single" w:color="EAF3F1" w:sz="1"/>
              <w:right w:val="single" w:color="EAF3F1" w:sz="1"/>
            </w:tcBorders>
            <w:shd w:fill="EAF3F1" w:val="clear"/>
            <w:tcMar>
              <w:top w:type="dxa" w:w="90"/>
              <w:left w:type="dxa" w:w="150"/>
              <w:bottom w:type="dxa" w:w="90"/>
              <w:right w:type="dxa" w:w="150"/>
            </w:tcMar>
          </w:tcPr>
          <w:p>
            <w:pPr>
              <w:spacing w:after="40"/>
            </w:pPr>
            <w:r>
              <w:rPr>
                <w:b/>
                <w:bCs/>
                <w:color w:val="065C50"/>
                <w:sz w:val="19"/>
                <w:szCs w:val="19"/>
              </w:rPr>
              <w:t xml:space="preserve">Source (do not reproduce here):</w:t>
            </w:r>
          </w:p>
          <w:p>
            <w:pPr>
              <w:spacing w:after="0" w:before="0" w:line="260"/>
            </w:pPr>
            <w:r>
              <w:t xml:space="preserve">Use the term-project document (Part 2, Week 3) as the live source for the brief and rubric.</w:t>
            </w:r>
          </w:p>
        </w:tc>
      </w:tr>
    </w:tbl>
    <w:p>
      <w:pPr>
        <w:pStyle w:val="Heading3"/>
      </w:pPr>
      <w:r>
        <w:t xml:space="preserve">Exit ticket and preview</w:t>
      </w:r>
    </w:p>
    <w:p>
      <w:pPr>
        <w:spacing w:after="90" w:before="0" w:line="260"/>
      </w:pPr>
      <w:r>
        <w:t xml:space="preserve">Name your study design in one phrase and the single biggest threat you expect it to face. Complete the Lesson 4 module on case-control studies before next class.</w:t>
      </w:r>
    </w:p>
    <w:p>
      <w:pPr>
        <w:pStyle w:val="Heading3"/>
      </w:pPr>
      <w:r>
        <w:t xml:space="preserve">Instructor preparation</w:t>
      </w:r>
    </w:p>
    <w:p>
      <w:pPr>
        <w:pStyle w:val="ListParagraph"/>
        <w:numPr>
          <w:ilvl w:val="0"/>
          <w:numId w:val="2"/>
        </w:numPr>
        <w:spacing w:after="40" w:line="258"/>
      </w:pPr>
      <w:r>
        <w:t xml:space="preserve">Slide with the four warm-up studies.</w:t>
      </w:r>
    </w:p>
    <w:p>
      <w:pPr>
        <w:pStyle w:val="ListParagraph"/>
        <w:numPr>
          <w:ilvl w:val="0"/>
          <w:numId w:val="2"/>
        </w:numPr>
        <w:spacing w:after="40" w:line="258"/>
      </w:pPr>
      <w:r>
        <w:t xml:space="preserve">Design cards and a grid on the board.</w:t>
      </w:r>
    </w:p>
    <w:p>
      <w:pPr>
        <w:pStyle w:val="ListParagraph"/>
        <w:numPr>
          <w:ilvl w:val="0"/>
          <w:numId w:val="2"/>
        </w:numPr>
        <w:spacing w:after="40" w:line="258"/>
      </w:pPr>
      <w:r>
        <w:t xml:space="preserve">A short cross-sectional report and a STROBE checklist on Canvas.</w:t>
      </w:r>
    </w:p>
    <w:p>
      <w:pPr>
        <w:pStyle w:val="ListParagraph"/>
        <w:numPr>
          <w:ilvl w:val="0"/>
          <w:numId w:val="2"/>
        </w:numPr>
        <w:spacing w:after="40" w:line="258"/>
      </w:pPr>
      <w:r>
        <w:t xml:space="preserve">Open the term-project document to Week 3.</w:t>
      </w:r>
    </w:p>
    <w:sectPr>
      <w:headerReference w:type="default" r:id="rId7"/>
      <w:footerReference w:type="default" r:id="rId8"/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CFE3DE" w:sz="4" w:space="6"/>
      </w:pBdr>
      <w:spacing w:before="60"/>
      <w:jc w:val="center"/>
    </w:pPr>
    <w:r>
      <w:rPr>
        <w:color w:val="555555"/>
        <w:sz w:val="16"/>
        <w:szCs w:val="16"/>
      </w:rPr>
      <w:t xml:space="preserve">Dr. Kiffer G. Card · SFU Faculty of Health Sciences    |    Page </w:t>
    </w:r>
    <w:r>
      <w:rPr>
        <w:color w:val="555555"/>
        <w:sz w:val="16"/>
        <w:szCs w:val="16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jc w:val="right"/>
    </w:pPr>
    <w:r>
      <w:rPr>
        <w:color w:val="555555"/>
        <w:sz w:val="16"/>
        <w:szCs w:val="16"/>
      </w:rPr>
      <w:t xml:space="preserve">HSCI 230 · Lesson 3 · Introduction to Observational Studies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460" w:hanging="24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7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8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9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0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1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7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8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9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20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21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2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2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2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2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2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27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28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29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30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31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3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3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3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3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3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37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38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39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40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41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4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4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4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4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4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47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48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49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50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51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5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5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5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5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5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57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58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59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60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61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6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6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6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6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6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67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68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69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70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71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7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7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7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7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7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77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78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79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80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81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8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8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8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8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8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87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88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89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90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91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9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9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9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9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9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97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98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99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00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01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0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0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0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0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0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07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08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09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10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11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1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1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1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1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1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17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18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19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20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21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2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2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2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2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2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27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28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29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30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31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3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3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3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3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3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37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38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39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40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41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4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4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4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4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4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47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48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49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50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51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5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5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5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5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5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57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58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59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60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61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6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6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6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6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6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67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68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69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70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71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7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7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7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7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7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77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78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79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80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81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8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8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8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8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8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87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88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89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90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91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9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9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9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9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9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97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98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99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200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201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20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3"/>
    <w:lvlOverride w:ilvl="0">
      <w:startOverride w:val="1"/>
    </w:lvlOverride>
  </w:num>
  <w:num w:numId="4">
    <w:abstractNumId w:val="4"/>
    <w:lvlOverride w:ilvl="0">
      <w:startOverride w:val="1"/>
    </w:lvlOverride>
  </w:num>
  <w:num w:numId="5">
    <w:abstractNumId w:val="5"/>
    <w:lvlOverride w:ilvl="0">
      <w:startOverride w:val="1"/>
    </w:lvlOverride>
  </w:num>
  <w:num w:numId="6">
    <w:abstractNumId w:val="6"/>
    <w:lvlOverride w:ilvl="0">
      <w:startOverride w:val="1"/>
    </w:lvlOverride>
  </w:num>
  <w:num w:numId="7">
    <w:abstractNumId w:val="7"/>
    <w:lvlOverride w:ilvl="0">
      <w:startOverride w:val="1"/>
    </w:lvlOverride>
  </w:num>
  <w:num w:numId="8">
    <w:abstractNumId w:val="8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1A1A1A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Title">
    <w:name w:val="Title"/>
    <w:basedOn w:val="Normal"/>
    <w:next w:val="Normal"/>
    <w:pPr>
      <w:spacing w:after="60"/>
    </w:pPr>
    <w:rPr>
      <w:rFonts w:ascii="Arial" w:cs="Arial" w:eastAsia="Arial" w:hAnsi="Arial"/>
      <w:b/>
      <w:bCs/>
      <w:color w:val="065C50"/>
      <w:sz w:val="40"/>
      <w:szCs w:val="40"/>
    </w:rPr>
  </w:style>
  <w:style w:type="paragraph" w:styleId="Heading1">
    <w:name w:val="Heading 1"/>
    <w:basedOn w:val="Normal"/>
    <w:next w:val="Normal"/>
    <w:qFormat/>
    <w:pPr>
      <w:pBdr>
        <w:bottom w:val="single" w:color="CFE3DE" w:sz="6" w:space="4"/>
      </w:pBdr>
      <w:spacing w:after="120" w:before="280"/>
      <w:outlineLvl w:val="0"/>
    </w:pPr>
    <w:rPr>
      <w:rFonts w:ascii="Arial" w:cs="Arial" w:eastAsia="Arial" w:hAnsi="Arial"/>
      <w:b/>
      <w:bCs/>
      <w:color w:val="0B7B6B"/>
      <w:sz w:val="28"/>
      <w:szCs w:val="28"/>
    </w:rPr>
  </w:style>
  <w:style w:type="paragraph" w:styleId="Heading2">
    <w:name w:val="Heading 2"/>
    <w:basedOn w:val="Normal"/>
    <w:next w:val="Normal"/>
    <w:qFormat/>
    <w:pPr>
      <w:spacing w:after="90" w:before="240"/>
      <w:outlineLvl w:val="1"/>
    </w:pPr>
    <w:rPr>
      <w:rFonts w:ascii="Arial" w:cs="Arial" w:eastAsia="Arial" w:hAnsi="Arial"/>
      <w:b/>
      <w:bCs/>
      <w:color w:val="065C50"/>
      <w:sz w:val="25"/>
      <w:szCs w:val="25"/>
    </w:rPr>
  </w:style>
  <w:style w:type="paragraph" w:styleId="Heading3">
    <w:name w:val="Heading 3"/>
    <w:basedOn w:val="Normal"/>
    <w:next w:val="Normal"/>
    <w:qFormat/>
    <w:pPr>
      <w:spacing w:after="50" w:before="170"/>
      <w:outlineLvl w:val="2"/>
    </w:pPr>
    <w:rPr>
      <w:rFonts w:ascii="Arial" w:cs="Arial" w:eastAsia="Arial" w:hAnsi="Arial"/>
      <w:b/>
      <w:bCs/>
      <w:color w:val="1A1A1A"/>
      <w:sz w:val="21"/>
      <w:szCs w:val="21"/>
    </w:rPr>
  </w:style>
  <w:style w:type="paragraph" w:styleId="Heading4">
    <w:name w:val="Heading 4"/>
    <w:basedOn w:val="Normal"/>
    <w:next w:val="Normal"/>
    <w:qFormat/>
    <w:pPr>
      <w:spacing w:after="40" w:before="120"/>
      <w:outlineLvl w:val="3"/>
    </w:pPr>
    <w:rPr>
      <w:rFonts w:ascii="Arial" w:cs="Arial" w:eastAsia="Arial" w:hAnsi="Arial"/>
      <w:b/>
      <w:bCs/>
      <w:i/>
      <w:iCs/>
      <w:color w:val="065C50"/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2026-06-16T15:53:16.041Z</dcterms:created>
  <dcterms:modified xsi:type="dcterms:W3CDTF">2026-06-16T15:53:16.041Z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