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555555"/>
          <w:sz w:val="16"/>
          <w:szCs w:val="16"/>
        </w:rPr>
        <w:t xml:space="preserve">SFU  ·  FACULTY OF HEALTH SCIENCES  ·  COURSE SYLLABUS</w:t>
      </w:r>
    </w:p>
    <w:p>
      <w:pPr>
        <w:pStyle w:val="Title"/>
      </w:pPr>
      <w:r>
        <w:t xml:space="preserve">HSCI 130: Foundations of Health Science</w:t>
      </w:r>
    </w:p>
    <w:p>
      <w:pPr>
        <w:spacing w:after="140"/>
      </w:pPr>
      <w:r>
        <w:rPr>
          <w:b/>
          <w:bCs/>
          <w:color w:val="555555"/>
          <w:sz w:val="20"/>
          <w:szCs w:val="20"/>
        </w:rPr>
        <w:t xml:space="preserve">4 units  ·  100-level (lower division)</w:t>
      </w:r>
    </w:p>
    <w:p>
      <w:pPr>
        <w:pStyle w:val="Heading1"/>
      </w:pPr>
      <w:r>
        <w:t xml:space="preserve">Course logistics</w:t>
      </w:r>
    </w:p>
    <w:p>
      <w:pPr>
        <w:spacing w:after="40" w:line="264"/>
      </w:pPr>
      <w:r>
        <w:rPr>
          <w:b/>
          <w:bCs/>
        </w:rPr>
        <w:t xml:space="preserve">Term:  </w:t>
      </w:r>
      <w:r>
        <w:rPr>
          <w:color w:val="555555"/>
        </w:rPr>
        <w:t xml:space="preserve">[Term and year]</w:t>
      </w:r>
    </w:p>
    <w:p>
      <w:pPr>
        <w:spacing w:after="40" w:line="264"/>
      </w:pPr>
      <w:r>
        <w:rPr>
          <w:b/>
          <w:bCs/>
        </w:rPr>
        <w:t xml:space="preserve">Meeting time:  </w:t>
      </w:r>
      <w:r>
        <w:rPr>
          <w:color w:val="555555"/>
        </w:rPr>
        <w:t xml:space="preserve">[Day(s) and time] — one three-hour session per week</w:t>
      </w:r>
    </w:p>
    <w:p>
      <w:pPr>
        <w:spacing w:after="40" w:line="264"/>
      </w:pPr>
      <w:r>
        <w:rPr>
          <w:b/>
          <w:bCs/>
        </w:rPr>
        <w:t xml:space="preserve">Location:  </w:t>
      </w:r>
      <w:r>
        <w:rPr>
          <w:color w:val="555555"/>
        </w:rPr>
        <w:t xml:space="preserve">[Building and room]</w:t>
      </w:r>
    </w:p>
    <w:p>
      <w:pPr>
        <w:spacing w:after="40" w:line="264"/>
      </w:pPr>
      <w:r>
        <w:rPr>
          <w:b/>
          <w:bCs/>
        </w:rPr>
        <w:t xml:space="preserve">Format:  </w:t>
      </w:r>
      <w:r>
        <w:rPr>
          <w:color w:val="555555"/>
        </w:rPr>
        <w:t xml:space="preserve">Flipped classroom; in-person weekly three-hour session</w:t>
      </w:r>
    </w:p>
    <w:p>
      <w:pPr>
        <w:spacing w:after="40" w:line="264"/>
      </w:pPr>
      <w:r>
        <w:rPr>
          <w:b/>
          <w:bCs/>
        </w:rPr>
        <w:t xml:space="preserve">Instructor:  </w:t>
      </w:r>
      <w:r>
        <w:rPr>
          <w:color w:val="555555"/>
        </w:rPr>
        <w:t xml:space="preserve">Dr. Kiffer G. Card</w:t>
      </w:r>
    </w:p>
    <w:p>
      <w:pPr>
        <w:spacing w:after="40" w:line="264"/>
      </w:pPr>
      <w:r>
        <w:rPr>
          <w:b/>
          <w:bCs/>
        </w:rPr>
        <w:t xml:space="preserve">Office / hours:  </w:t>
      </w:r>
      <w:r>
        <w:rPr>
          <w:color w:val="555555"/>
        </w:rPr>
        <w:t xml:space="preserve">[Office] · [Office hours, or 'by appointment']</w:t>
      </w:r>
    </w:p>
    <w:p>
      <w:pPr>
        <w:spacing w:after="40" w:line="264"/>
      </w:pPr>
      <w:r>
        <w:rPr>
          <w:b/>
          <w:bCs/>
        </w:rPr>
        <w:t xml:space="preserve">Email:  </w:t>
      </w:r>
      <w:r>
        <w:rPr>
          <w:color w:val="555555"/>
        </w:rPr>
        <w:t xml:space="preserve">[Instructor email]</w:t>
      </w:r>
    </w:p>
    <w:p>
      <w:pPr>
        <w:spacing w:after="40" w:line="264"/>
      </w:pPr>
      <w:r>
        <w:rPr>
          <w:b/>
          <w:bCs/>
        </w:rPr>
        <w:t xml:space="preserve">Teaching assistant:  </w:t>
      </w:r>
      <w:r>
        <w:rPr>
          <w:color w:val="555555"/>
        </w:rPr>
        <w:t xml:space="preserve">[TA name, email, office hours, if applicable]</w:t>
      </w:r>
    </w:p>
    <w:p>
      <w:pPr>
        <w:spacing w:after="40" w:line="264"/>
      </w:pPr>
      <w:r>
        <w:rPr>
          <w:b/>
          <w:bCs/>
        </w:rPr>
        <w:t xml:space="preserve">Course website:  </w:t>
      </w:r>
      <w:r>
        <w:rPr>
          <w:color w:val="555555"/>
        </w:rPr>
        <w:t xml:space="preserve">Canvas ([course Canvas URL])</w:t>
      </w:r>
    </w:p>
    <w:p>
      <w:pPr>
        <w:pStyle w:val="Heading1"/>
      </w:pPr>
      <w:r>
        <w:t xml:space="preserve">Calendar description</w:t>
      </w:r>
    </w:p>
    <w:p>
      <w:pPr>
        <w:spacing w:after="40" w:before="0" w:line="264"/>
      </w:pPr>
      <w:r>
        <w:rPr>
          <w:b/>
          <w:bCs/>
        </w:rPr>
        <w:t xml:space="preserve">Official SFU Academic Calendar description:</w:t>
      </w:r>
    </w:p>
    <w:p>
      <w:pPr>
        <w:spacing w:after="100" w:before="0" w:line="264"/>
      </w:pPr>
      <w:r>
        <w:rPr>
          <w:i/>
          <w:iCs/>
        </w:rPr>
        <w:t xml:space="preserve">How health, illness and disease are defined and measured for individuals and populations. Research strategies used to identify how health, illness and disease are distributed across human populations and how environmental, socio-economic, demographic, biological, behavioural and political factors influence individual and population health. Breadth-Social Sci/Science.</w:t>
      </w:r>
    </w:p>
    <w:p>
      <w:pPr>
        <w:pStyle w:val="Heading1"/>
      </w:pPr>
      <w:r>
        <w:t xml:space="preserve">Course description and place in the program</w:t>
      </w:r>
    </w:p>
    <w:p>
      <w:pPr>
        <w:spacing w:after="100" w:before="0" w:line="264"/>
      </w:pPr>
      <w:r>
        <w:t xml:space="preserve">HSCI 130 is the entry course of the Health Sciences undergraduate programs and a designated breadth course. It gives students the conceptual and historical grounding in public health that the later methods courses (the appraisal, epidemiological-methods, and data-analysis courses in the sequence) build upon.</w:t>
      </w:r>
    </w:p>
    <w:p>
      <w:pPr>
        <w:spacing w:after="100" w:before="0" w:line="264"/>
      </w:pPr>
      <w:r>
        <w:t xml:space="preserve">This course uses a flipped-classroom design. The teaching content lives in a set of interactive online lesson modules, one per week. Students work through the assigned module and its narrated walkthrough before class, so that class time is reserved for consolidation rather than first exposure. Each weekly three-hour session is built around active review of the week's key ideas, applied exercises that put those ideas to work, an open question-and-answer clinic for points students found difficult, and a supervised studio block for the term project.</w:t>
      </w:r>
    </w:p>
    <w:p>
      <w:pPr>
        <w:pStyle w:val="Heading1"/>
      </w:pPr>
      <w:r>
        <w:t xml:space="preserve">Prerequisites</w:t>
      </w:r>
    </w:p>
    <w:p>
      <w:pPr>
        <w:spacing w:after="100" w:before="0" w:line="264"/>
      </w:pPr>
      <w:r>
        <w:t xml:space="preserve">None.</w:t>
      </w:r>
    </w:p>
    <w:p>
      <w:pPr>
        <w:pStyle w:val="Heading1"/>
      </w:pPr>
      <w:r>
        <w:t xml:space="preserve">Teaching format and delivery</w:t>
      </w:r>
    </w:p>
    <w:p>
      <w:pPr>
        <w:spacing w:after="100" w:before="0" w:line="264"/>
      </w:pPr>
      <w:r>
        <w:t xml:space="preserve">Before each class, complete the assigned lesson module and its walkthrough, attempt the in-module checks and reflection prompts, and note any points you want raised in the question-and-answer clinic. Come to class ready to apply the material rather than to hear it for the first time.</w:t>
      </w:r>
    </w:p>
    <w:p>
      <w:pPr>
        <w:spacing w:after="100" w:before="0" w:line="264"/>
      </w:pPr>
      <w:r>
        <w:t xml:space="preserve">In class, each session follows the same rhythm: a short retrieval warm-up, co-construction exercises that rebuild the week's key ideas, a question-and-answer clinic on points students found difficult, an applied exercise, and a supervised studio block for the term project. The full weekly plan is set out in the accompanying instructor lesson-plan guide.</w:t>
      </w:r>
    </w:p>
    <w:p>
      <w:pPr>
        <w:spacing w:after="100" w:before="0" w:line="264"/>
      </w:pPr>
      <w:r>
        <w:t xml:space="preserve">Software: None required.</w:t>
      </w:r>
    </w:p>
    <w:p>
      <w:pPr>
        <w:spacing w:after="100" w:before="0" w:line="264"/>
      </w:pPr>
      <w:r>
        <w:t xml:space="preserve">Canvas is used for this course. Lesson modules, narrated walkthroughs, announcements, assignment briefs and rubrics, submission of weekly milestones, and grade return all run through the course Canvas site. Check it before each class.</w:t>
      </w:r>
    </w:p>
    <w:p>
      <w:pPr>
        <w:pStyle w:val="Heading1"/>
      </w:pPr>
      <w:r>
        <w:t xml:space="preserve">Course goals</w:t>
      </w:r>
    </w:p>
    <w:p>
      <w:pPr>
        <w:spacing w:after="60" w:before="0" w:line="264"/>
      </w:pPr>
      <w:r>
        <w:t xml:space="preserve">This course is built around the following overarching goals:</w:t>
      </w:r>
    </w:p>
    <w:p>
      <w:pPr>
        <w:pStyle w:val="ListParagraph"/>
        <w:numPr>
          <w:ilvl w:val="0"/>
          <w:numId w:val="2"/>
        </w:numPr>
        <w:spacing w:after="60" w:line="264"/>
      </w:pPr>
      <w:r>
        <w:t xml:space="preserve">Build a working vocabulary for how health, illness, and disease are defined, contested, and measured across individuals and populations.</w:t>
      </w:r>
    </w:p>
    <w:p>
      <w:pPr>
        <w:pStyle w:val="ListParagraph"/>
        <w:numPr>
          <w:ilvl w:val="0"/>
          <w:numId w:val="2"/>
        </w:numPr>
        <w:spacing w:after="60" w:line="264"/>
      </w:pPr>
      <w:r>
        <w:t xml:space="preserve">Trace how public-health knowledge accumulated through key people, institutions, and landmark studies, including its harms and its corrections.</w:t>
      </w:r>
    </w:p>
    <w:p>
      <w:pPr>
        <w:pStyle w:val="ListParagraph"/>
        <w:numPr>
          <w:ilvl w:val="0"/>
          <w:numId w:val="2"/>
        </w:numPr>
        <w:spacing w:after="60" w:line="264"/>
      </w:pPr>
      <w:r>
        <w:t xml:space="preserve">Reason about the biological, behavioural, environmental, occupational, and social and political determinants of health and how they interact.</w:t>
      </w:r>
    </w:p>
    <w:p>
      <w:pPr>
        <w:pStyle w:val="ListParagraph"/>
        <w:numPr>
          <w:ilvl w:val="0"/>
          <w:numId w:val="2"/>
        </w:numPr>
        <w:spacing w:after="60" w:line="264"/>
      </w:pPr>
      <w:r>
        <w:t xml:space="preserve">Translate an evidence-based account of a public-health topic into clear language for a general audience.</w:t>
      </w:r>
    </w:p>
    <w:p>
      <w:pPr>
        <w:pStyle w:val="Heading1"/>
      </w:pPr>
      <w:r>
        <w:t xml:space="preserve">Learning objectives</w:t>
      </w:r>
    </w:p>
    <w:p>
      <w:pPr>
        <w:spacing w:after="60" w:before="0" w:line="264"/>
      </w:pPr>
      <w:r>
        <w:t xml:space="preserve">By the end of this course, students will be able to:</w:t>
      </w:r>
    </w:p>
    <w:p>
      <w:pPr>
        <w:pStyle w:val="ListParagraph"/>
        <w:numPr>
          <w:ilvl w:val="0"/>
          <w:numId w:val="3"/>
        </w:numPr>
        <w:spacing w:after="60" w:line="264"/>
      </w:pPr>
      <w:r>
        <w:t xml:space="preserve">Define health, illness, disease, and related constructs, and identify where their definitions are contested and by whom.</w:t>
      </w:r>
    </w:p>
    <w:p>
      <w:pPr>
        <w:pStyle w:val="ListParagraph"/>
        <w:numPr>
          <w:ilvl w:val="0"/>
          <w:numId w:val="3"/>
        </w:numPr>
        <w:spacing w:after="60" w:line="264"/>
      </w:pPr>
      <w:r>
        <w:t xml:space="preserve">Describe major surveillance systems and burden-of-disease data sources and report figures drawn from them.</w:t>
      </w:r>
    </w:p>
    <w:p>
      <w:pPr>
        <w:pStyle w:val="ListParagraph"/>
        <w:numPr>
          <w:ilvl w:val="0"/>
          <w:numId w:val="3"/>
        </w:numPr>
        <w:spacing w:after="60" w:line="264"/>
      </w:pPr>
      <w:r>
        <w:t xml:space="preserve">Explain landmark studies and historical episodes that shaped public health, including ethical failures and the reforms that followed.</w:t>
      </w:r>
    </w:p>
    <w:p>
      <w:pPr>
        <w:pStyle w:val="ListParagraph"/>
        <w:numPr>
          <w:ilvl w:val="0"/>
          <w:numId w:val="3"/>
        </w:numPr>
        <w:spacing w:after="60" w:line="264"/>
      </w:pPr>
      <w:r>
        <w:t xml:space="preserve">Distinguish proximal from distal determinants and map how determinants across several layers bear on a single topic.</w:t>
      </w:r>
    </w:p>
    <w:p>
      <w:pPr>
        <w:pStyle w:val="ListParagraph"/>
        <w:numPr>
          <w:ilvl w:val="0"/>
          <w:numId w:val="3"/>
        </w:numPr>
        <w:spacing w:after="60" w:line="264"/>
      </w:pPr>
      <w:r>
        <w:t xml:space="preserve">Reason about mechanism and causation well enough to rule a candidate cause in or out for a given topic.</w:t>
      </w:r>
    </w:p>
    <w:p>
      <w:pPr>
        <w:pStyle w:val="ListParagraph"/>
        <w:numPr>
          <w:ilvl w:val="0"/>
          <w:numId w:val="3"/>
        </w:numPr>
        <w:spacing w:after="60" w:line="264"/>
      </w:pPr>
      <w:r>
        <w:t xml:space="preserve">Appraise competing evidence claims on a health topic and detect overstatement.</w:t>
      </w:r>
    </w:p>
    <w:p>
      <w:pPr>
        <w:pStyle w:val="ListParagraph"/>
        <w:numPr>
          <w:ilvl w:val="0"/>
          <w:numId w:val="3"/>
        </w:numPr>
        <w:spacing w:after="60" w:line="264"/>
      </w:pPr>
      <w:r>
        <w:t xml:space="preserve">Produce a multi-determinant account of one public-health topic and a plain-language op-ed that translates it.</w:t>
      </w:r>
    </w:p>
    <w:p>
      <w:pPr>
        <w:pStyle w:val="Heading1"/>
      </w:pPr>
      <w:r>
        <w:t xml:space="preserve">Required materials, readings, and technology</w:t>
      </w:r>
    </w:p>
    <w:p>
      <w:pPr>
        <w:spacing w:after="60" w:before="0" w:line="264"/>
      </w:pPr>
      <w:r>
        <w:rPr>
          <w:b/>
          <w:bCs/>
        </w:rPr>
        <w:t xml:space="preserve">Required: </w:t>
      </w:r>
      <w:r>
        <w:t xml:space="preserve">The interactive lesson modules and narrated walkthroughs, provided through Canvas. These are the core content of the course.</w:t>
      </w:r>
    </w:p>
    <w:p>
      <w:pPr>
        <w:spacing w:after="60" w:before="0" w:line="264"/>
      </w:pPr>
      <w:r>
        <w:rPr>
          <w:b/>
          <w:bCs/>
        </w:rPr>
        <w:t xml:space="preserve">Recommended: </w:t>
      </w:r>
      <w:r>
        <w:t xml:space="preserve">Schneider, M. Introduction to Public Health (Jones &amp; Bartlett Learning), latest edition, as a supplementary reference.</w:t>
      </w:r>
    </w:p>
    <w:p>
      <w:pPr>
        <w:spacing w:after="60" w:before="0" w:line="264"/>
      </w:pPr>
      <w:r>
        <w:t xml:space="preserve">Software and technology: None required.</w:t>
      </w:r>
    </w:p>
    <w:p>
      <w:pPr>
        <w:pStyle w:val="Heading1"/>
      </w:pPr>
      <w:r>
        <w:t xml:space="preserve">Assessment</w:t>
      </w:r>
    </w:p>
    <w:p>
      <w:pPr>
        <w:spacing w:after="100" w:before="0" w:line="264"/>
      </w:pPr>
      <w:r>
        <w:t xml:space="preserve">Your grade is built from a term-long project, two examinations, and in-class participation. The term project is assembled week by week in the studio block, so it grows with the course rather than arriving at the end of it.</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4980"/>
        <w:gridCol w:w="1400"/>
        <w:gridCol w:w="2980"/>
      </w:tblGrid>
      <w:tr>
        <w:trPr>
          <w:tblHeader/>
        </w:trPr>
        <w:tc>
          <w:tcPr>
            <w:tcW w:type="dxa" w:w="4980"/>
            <w:shd w:fill="0B7B6B" w:val="clear"/>
            <w:tcMar>
              <w:top w:type="dxa" w:w="60"/>
              <w:left w:type="dxa" w:w="110"/>
              <w:bottom w:type="dxa" w:w="60"/>
              <w:right w:type="dxa" w:w="110"/>
            </w:tcMar>
            <w:vAlign w:val="center"/>
          </w:tcPr>
          <w:p>
            <w:pPr>
              <w:spacing w:after="0" w:line="248"/>
            </w:pPr>
            <w:r>
              <w:rPr>
                <w:b/>
                <w:bCs/>
                <w:color w:val="FFFFFF"/>
                <w:sz w:val="20"/>
                <w:szCs w:val="20"/>
              </w:rPr>
              <w:t xml:space="preserve">Component</w:t>
            </w:r>
          </w:p>
        </w:tc>
        <w:tc>
          <w:tcPr>
            <w:tcW w:type="dxa" w:w="1400"/>
            <w:shd w:fill="0B7B6B" w:val="clear"/>
            <w:tcMar>
              <w:top w:type="dxa" w:w="60"/>
              <w:left w:type="dxa" w:w="110"/>
              <w:bottom w:type="dxa" w:w="60"/>
              <w:right w:type="dxa" w:w="110"/>
            </w:tcMar>
            <w:vAlign w:val="center"/>
          </w:tcPr>
          <w:p>
            <w:pPr>
              <w:spacing w:after="0" w:line="248"/>
            </w:pPr>
            <w:r>
              <w:rPr>
                <w:b/>
                <w:bCs/>
                <w:color w:val="FFFFFF"/>
                <w:sz w:val="20"/>
                <w:szCs w:val="20"/>
              </w:rPr>
              <w:t xml:space="preserve">Weight</w:t>
            </w:r>
          </w:p>
        </w:tc>
        <w:tc>
          <w:tcPr>
            <w:tcW w:type="dxa" w:w="2980"/>
            <w:shd w:fill="0B7B6B" w:val="clear"/>
            <w:tcMar>
              <w:top w:type="dxa" w:w="60"/>
              <w:left w:type="dxa" w:w="110"/>
              <w:bottom w:type="dxa" w:w="60"/>
              <w:right w:type="dxa" w:w="110"/>
            </w:tcMar>
            <w:vAlign w:val="center"/>
          </w:tcPr>
          <w:p>
            <w:pPr>
              <w:spacing w:after="0" w:line="248"/>
            </w:pPr>
            <w:r>
              <w:rPr>
                <w:b/>
                <w:bCs/>
                <w:color w:val="FFFFFF"/>
                <w:sz w:val="20"/>
                <w:szCs w:val="20"/>
              </w:rPr>
              <w:t xml:space="preserve">Objectives assessed</w:t>
            </w:r>
          </w:p>
        </w:tc>
      </w:tr>
      <w:tr>
        <w:tc>
          <w:tcPr>
            <w:tcW w:type="dxa" w:w="4980"/>
            <w:tcMar>
              <w:top w:type="dxa" w:w="60"/>
              <w:left w:type="dxa" w:w="110"/>
              <w:bottom w:type="dxa" w:w="60"/>
              <w:right w:type="dxa" w:w="110"/>
            </w:tcMar>
            <w:vAlign w:val="center"/>
          </w:tcPr>
          <w:p>
            <w:pPr>
              <w:spacing w:after="0" w:line="248"/>
            </w:pPr>
            <w:r>
              <w:rPr>
                <w:sz w:val="20"/>
                <w:szCs w:val="20"/>
              </w:rPr>
              <w:t xml:space="preserve">Term project: The Health-Topic Biography</w:t>
            </w:r>
          </w:p>
        </w:tc>
        <w:tc>
          <w:tcPr>
            <w:tcW w:type="dxa" w:w="1400"/>
            <w:tcMar>
              <w:top w:type="dxa" w:w="60"/>
              <w:left w:type="dxa" w:w="110"/>
              <w:bottom w:type="dxa" w:w="60"/>
              <w:right w:type="dxa" w:w="110"/>
            </w:tcMar>
            <w:vAlign w:val="center"/>
          </w:tcPr>
          <w:p>
            <w:pPr>
              <w:spacing w:after="0" w:line="248"/>
            </w:pPr>
            <w:r>
              <w:rPr>
                <w:sz w:val="20"/>
                <w:szCs w:val="20"/>
              </w:rPr>
              <w:t xml:space="preserve">60%</w:t>
            </w:r>
          </w:p>
        </w:tc>
        <w:tc>
          <w:tcPr>
            <w:tcW w:type="dxa" w:w="2980"/>
            <w:tcMar>
              <w:top w:type="dxa" w:w="60"/>
              <w:left w:type="dxa" w:w="110"/>
              <w:bottom w:type="dxa" w:w="60"/>
              <w:right w:type="dxa" w:w="110"/>
            </w:tcMar>
            <w:vAlign w:val="center"/>
          </w:tcPr>
          <w:p>
            <w:pPr>
              <w:spacing w:after="0" w:line="248"/>
            </w:pPr>
            <w:r>
              <w:rPr>
                <w:sz w:val="20"/>
                <w:szCs w:val="20"/>
              </w:rPr>
              <w:t xml:space="preserve">Objectives 1–7</w:t>
            </w:r>
          </w:p>
        </w:tc>
      </w:tr>
      <w:tr>
        <w:tc>
          <w:tcPr>
            <w:tcW w:type="dxa" w:w="4980"/>
            <w:tcMar>
              <w:top w:type="dxa" w:w="60"/>
              <w:left w:type="dxa" w:w="110"/>
              <w:bottom w:type="dxa" w:w="60"/>
              <w:right w:type="dxa" w:w="110"/>
            </w:tcMar>
            <w:vAlign w:val="center"/>
          </w:tcPr>
          <w:p>
            <w:pPr>
              <w:spacing w:after="0" w:line="248"/>
            </w:pPr>
            <w:r>
              <w:rPr>
                <w:sz w:val="20"/>
                <w:szCs w:val="20"/>
              </w:rPr>
              <w:t xml:space="preserve">Midterm examination (Week 7; Lessons 1–6)</w:t>
            </w:r>
          </w:p>
        </w:tc>
        <w:tc>
          <w:tcPr>
            <w:tcW w:type="dxa" w:w="1400"/>
            <w:tcMar>
              <w:top w:type="dxa" w:w="60"/>
              <w:left w:type="dxa" w:w="110"/>
              <w:bottom w:type="dxa" w:w="60"/>
              <w:right w:type="dxa" w:w="110"/>
            </w:tcMar>
            <w:vAlign w:val="center"/>
          </w:tcPr>
          <w:p>
            <w:pPr>
              <w:spacing w:after="0" w:line="248"/>
            </w:pPr>
            <w:r>
              <w:rPr>
                <w:sz w:val="20"/>
                <w:szCs w:val="20"/>
              </w:rPr>
              <w:t xml:space="preserve">15%</w:t>
            </w:r>
          </w:p>
        </w:tc>
        <w:tc>
          <w:tcPr>
            <w:tcW w:type="dxa" w:w="2980"/>
            <w:tcMar>
              <w:top w:type="dxa" w:w="60"/>
              <w:left w:type="dxa" w:w="110"/>
              <w:bottom w:type="dxa" w:w="60"/>
              <w:right w:type="dxa" w:w="110"/>
            </w:tcMar>
            <w:vAlign w:val="center"/>
          </w:tcPr>
          <w:p>
            <w:pPr>
              <w:spacing w:after="0" w:line="248"/>
            </w:pPr>
            <w:r>
              <w:rPr>
                <w:sz w:val="20"/>
                <w:szCs w:val="20"/>
              </w:rPr>
              <w:t xml:space="preserve">Objectives 1–4</w:t>
            </w:r>
          </w:p>
        </w:tc>
      </w:tr>
      <w:tr>
        <w:tc>
          <w:tcPr>
            <w:tcW w:type="dxa" w:w="4980"/>
            <w:tcMar>
              <w:top w:type="dxa" w:w="60"/>
              <w:left w:type="dxa" w:w="110"/>
              <w:bottom w:type="dxa" w:w="60"/>
              <w:right w:type="dxa" w:w="110"/>
            </w:tcMar>
            <w:vAlign w:val="center"/>
          </w:tcPr>
          <w:p>
            <w:pPr>
              <w:spacing w:after="0" w:line="248"/>
            </w:pPr>
            <w:r>
              <w:rPr>
                <w:sz w:val="20"/>
                <w:szCs w:val="20"/>
              </w:rPr>
              <w:t xml:space="preserve">Final examination (examination period; Lessons 7–12)</w:t>
            </w:r>
          </w:p>
        </w:tc>
        <w:tc>
          <w:tcPr>
            <w:tcW w:type="dxa" w:w="1400"/>
            <w:tcMar>
              <w:top w:type="dxa" w:w="60"/>
              <w:left w:type="dxa" w:w="110"/>
              <w:bottom w:type="dxa" w:w="60"/>
              <w:right w:type="dxa" w:w="110"/>
            </w:tcMar>
            <w:vAlign w:val="center"/>
          </w:tcPr>
          <w:p>
            <w:pPr>
              <w:spacing w:after="0" w:line="248"/>
            </w:pPr>
            <w:r>
              <w:rPr>
                <w:sz w:val="20"/>
                <w:szCs w:val="20"/>
              </w:rPr>
              <w:t xml:space="preserve">20%</w:t>
            </w:r>
          </w:p>
        </w:tc>
        <w:tc>
          <w:tcPr>
            <w:tcW w:type="dxa" w:w="2980"/>
            <w:tcMar>
              <w:top w:type="dxa" w:w="60"/>
              <w:left w:type="dxa" w:w="110"/>
              <w:bottom w:type="dxa" w:w="60"/>
              <w:right w:type="dxa" w:w="110"/>
            </w:tcMar>
            <w:vAlign w:val="center"/>
          </w:tcPr>
          <w:p>
            <w:pPr>
              <w:spacing w:after="0" w:line="248"/>
            </w:pPr>
            <w:r>
              <w:rPr>
                <w:sz w:val="20"/>
                <w:szCs w:val="20"/>
              </w:rPr>
              <w:t xml:space="preserve">Objectives 4–7</w:t>
            </w:r>
          </w:p>
        </w:tc>
      </w:tr>
      <w:tr>
        <w:tc>
          <w:tcPr>
            <w:tcW w:type="dxa" w:w="4980"/>
            <w:tcMar>
              <w:top w:type="dxa" w:w="60"/>
              <w:left w:type="dxa" w:w="110"/>
              <w:bottom w:type="dxa" w:w="60"/>
              <w:right w:type="dxa" w:w="110"/>
            </w:tcMar>
            <w:vAlign w:val="center"/>
          </w:tcPr>
          <w:p>
            <w:pPr>
              <w:spacing w:after="0" w:line="248"/>
            </w:pPr>
            <w:r>
              <w:rPr>
                <w:sz w:val="20"/>
                <w:szCs w:val="20"/>
              </w:rPr>
              <w:t xml:space="preserve">In-class participation and exercises</w:t>
            </w:r>
          </w:p>
        </w:tc>
        <w:tc>
          <w:tcPr>
            <w:tcW w:type="dxa" w:w="1400"/>
            <w:tcMar>
              <w:top w:type="dxa" w:w="60"/>
              <w:left w:type="dxa" w:w="110"/>
              <w:bottom w:type="dxa" w:w="60"/>
              <w:right w:type="dxa" w:w="110"/>
            </w:tcMar>
            <w:vAlign w:val="center"/>
          </w:tcPr>
          <w:p>
            <w:pPr>
              <w:spacing w:after="0" w:line="248"/>
            </w:pPr>
            <w:r>
              <w:rPr>
                <w:sz w:val="20"/>
                <w:szCs w:val="20"/>
              </w:rPr>
              <w:t xml:space="preserve">5%</w:t>
            </w:r>
          </w:p>
        </w:tc>
        <w:tc>
          <w:tcPr>
            <w:tcW w:type="dxa" w:w="2980"/>
            <w:tcMar>
              <w:top w:type="dxa" w:w="60"/>
              <w:left w:type="dxa" w:w="110"/>
              <w:bottom w:type="dxa" w:w="60"/>
              <w:right w:type="dxa" w:w="110"/>
            </w:tcMar>
            <w:vAlign w:val="center"/>
          </w:tcPr>
          <w:p>
            <w:pPr>
              <w:spacing w:after="0" w:line="248"/>
            </w:pPr>
            <w:r>
              <w:rPr>
                <w:sz w:val="20"/>
                <w:szCs w:val="20"/>
              </w:rPr>
              <w:t xml:space="preserve">Objectives 1–7</w:t>
            </w:r>
          </w:p>
        </w:tc>
      </w:tr>
      <w:tr>
        <w:tc>
          <w:tcPr>
            <w:tcW w:type="dxa" w:w="4980"/>
            <w:tcMar>
              <w:top w:type="dxa" w:w="60"/>
              <w:left w:type="dxa" w:w="110"/>
              <w:bottom w:type="dxa" w:w="60"/>
              <w:right w:type="dxa" w:w="110"/>
            </w:tcMar>
            <w:vAlign w:val="center"/>
          </w:tcPr>
          <w:p>
            <w:pPr>
              <w:spacing w:after="0" w:before="0" w:line="264"/>
            </w:pPr>
            <w:r>
              <w:rPr>
                <w:b/>
                <w:bCs/>
              </w:rPr>
              <w:t xml:space="preserve">Total</w:t>
            </w:r>
          </w:p>
        </w:tc>
        <w:tc>
          <w:tcPr>
            <w:tcW w:type="dxa" w:w="1400"/>
            <w:tcMar>
              <w:top w:type="dxa" w:w="60"/>
              <w:left w:type="dxa" w:w="110"/>
              <w:bottom w:type="dxa" w:w="60"/>
              <w:right w:type="dxa" w:w="110"/>
            </w:tcMar>
            <w:vAlign w:val="center"/>
          </w:tcPr>
          <w:p>
            <w:pPr>
              <w:spacing w:after="0" w:before="0" w:line="264"/>
            </w:pPr>
            <w:r>
              <w:rPr>
                <w:b/>
                <w:bCs/>
              </w:rPr>
              <w:t xml:space="preserve">100%</w:t>
            </w:r>
          </w:p>
        </w:tc>
        <w:tc>
          <w:tcPr>
            <w:tcW w:type="dxa" w:w="2980"/>
            <w:tcMar>
              <w:top w:type="dxa" w:w="60"/>
              <w:left w:type="dxa" w:w="110"/>
              <w:bottom w:type="dxa" w:w="60"/>
              <w:right w:type="dxa" w:w="110"/>
            </w:tcMar>
            <w:vAlign w:val="center"/>
          </w:tcPr>
          <w:p>
            <w:pPr>
              <w:spacing w:after="0" w:before="0" w:line="264"/>
            </w:pPr>
            <w:r>
              <w:t xml:space="preserve"/>
            </w:r>
          </w:p>
        </w:tc>
      </w:tr>
    </w:tbl>
    <w:p>
      <w:pPr>
        <w:spacing w:after="100" w:before="80" w:line="264"/>
      </w:pPr>
      <w:r>
        <w:rPr>
          <w:i/>
          <w:iCs/>
          <w:color w:val="555555"/>
          <w:sz w:val="18"/>
          <w:szCs w:val="18"/>
        </w:rPr>
        <w:t xml:space="preserve">Objective numbers refer to the learning objectives listed above. The midterm and final assess the objectives developed in the lessons each one covers; the term project and participation draw on all of them.</w:t>
      </w:r>
    </w:p>
    <w:p>
      <w:pPr>
        <w:pStyle w:val="Heading2"/>
      </w:pPr>
      <w:r>
        <w:t xml:space="preserve">Term project</w:t>
      </w:r>
    </w:p>
    <w:p>
      <w:pPr>
        <w:spacing w:after="100" w:before="0" w:line="264"/>
      </w:pPr>
      <w:r>
        <w:t xml:space="preserve">An 8–12 page integrated 'biography' of a single public-health topic of your choice, examining it through each of the 12 foundational lenses of the course (conceptual, historical-surveillance, infectious, lifestyle, sexual-and-reproductive, life-course, genetic, behavioural-and-mental-health, environmental, occupational, social-economic-political, and disability-diversity). The biography is paired with a 1-page plain-language op-ed that translates the integrated picture for a general audience.</w:t>
      </w:r>
    </w:p>
    <w:p>
      <w:pPr>
        <w:spacing w:after="60" w:before="0" w:line="264"/>
      </w:pPr>
      <w:r>
        <w:t xml:space="preserve">The term project is worth 60% of the course grade, made up as follows:</w:t>
      </w:r>
    </w:p>
    <w:p>
      <w:pPr>
        <w:pStyle w:val="ListParagraph"/>
        <w:numPr>
          <w:ilvl w:val="0"/>
          <w:numId w:val="2"/>
        </w:numPr>
        <w:spacing w:after="60" w:line="264"/>
      </w:pPr>
      <w:r>
        <w:t xml:space="preserve">Weekly milestones (12 at 2.5% each): 30%</w:t>
      </w:r>
    </w:p>
    <w:p>
      <w:pPr>
        <w:pStyle w:val="ListParagraph"/>
        <w:numPr>
          <w:ilvl w:val="0"/>
          <w:numId w:val="2"/>
        </w:numPr>
        <w:spacing w:after="60" w:line="264"/>
      </w:pPr>
      <w:r>
        <w:t xml:space="preserve">Final integrated biography and op-ed: 25%</w:t>
      </w:r>
    </w:p>
    <w:p>
      <w:pPr>
        <w:pStyle w:val="ListParagraph"/>
        <w:numPr>
          <w:ilvl w:val="0"/>
          <w:numId w:val="2"/>
        </w:numPr>
        <w:spacing w:after="60" w:line="264"/>
      </w:pPr>
      <w:r>
        <w:t xml:space="preserve">Peer review of one classmate's biography: 5%</w:t>
      </w:r>
    </w:p>
    <w:p>
      <w:pPr>
        <w:spacing w:after="100" w:before="60" w:line="264"/>
      </w:pPr>
      <w:r>
        <w:t xml:space="preserve">A full brief and rubric for every weekly milestone and for the final deliverable is provided in the term-project document on Canvas. Each milestone is graded on completing that week's work on time, grounding claims in named sources, and being clear and honest about uncertainty.</w:t>
      </w:r>
    </w:p>
    <w:p>
      <w:pPr>
        <w:pStyle w:val="Heading2"/>
      </w:pPr>
      <w:r>
        <w:t xml:space="preserve">Examinations</w:t>
      </w:r>
    </w:p>
    <w:p>
      <w:pPr>
        <w:spacing w:after="100" w:before="0" w:line="264"/>
      </w:pPr>
      <w:r>
        <w:rPr>
          <w:b/>
          <w:bCs/>
        </w:rPr>
        <w:t xml:space="preserve">Midterm (15%). </w:t>
      </w:r>
      <w:r>
        <w:t xml:space="preserve">An in-class examination covering Lessons 1 to 6 (conceptualizing health; the rise of public health and surveillance; infectious disease, sanitation and hygiene; nutrition, activity and sleep; sexual and reproductive health; and the life course). Short-answer and applied items test definitions, historical reasoning, and the reading of surveillance figures.</w:t>
      </w:r>
    </w:p>
    <w:p>
      <w:pPr>
        <w:spacing w:after="100" w:before="0" w:line="264"/>
      </w:pPr>
      <w:r>
        <w:rPr>
          <w:b/>
          <w:bCs/>
        </w:rPr>
        <w:t xml:space="preserve">Final (20%). </w:t>
      </w:r>
      <w:r>
        <w:t xml:space="preserve">An examination in the formal examination period covering Lessons 7 to 12 (genetics and genomics; health behaviours and mental health; environmental health; occupational health; social, economic and political determinants; and disability and integration). The paper emphasizes reasoning across determinants rather than recall of a single lecture.</w:t>
      </w:r>
    </w:p>
    <w:p>
      <w:pPr>
        <w:pStyle w:val="Heading2"/>
      </w:pPr>
      <w:r>
        <w:t xml:space="preserve">Participation (5%)</w:t>
      </w:r>
    </w:p>
    <w:p>
      <w:pPr>
        <w:spacing w:after="100" w:before="0" w:line="264"/>
      </w:pPr>
      <w:r>
        <w:t xml:space="preserve">Participation is assessed through the in-class exercises and engagement in the weekly sessions, including the collaborative co-construction activities and the studio. It rewards being present and contributing, not correctness.</w:t>
      </w:r>
    </w:p>
    <w:p>
      <w:pPr>
        <w:pStyle w:val="Heading1"/>
      </w:pPr>
      <w:r>
        <w:t xml:space="preserve">Grading</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100"/>
        <w:gridCol w:w="6260"/>
        <w:gridCol w:w="2000"/>
      </w:tblGrid>
      <w:tr>
        <w:trPr>
          <w:tblHeader/>
        </w:trPr>
        <w:tc>
          <w:tcPr>
            <w:tcW w:type="dxa" w:w="1100"/>
            <w:shd w:fill="0B7B6B" w:val="clear"/>
            <w:tcMar>
              <w:top w:type="dxa" w:w="60"/>
              <w:left w:type="dxa" w:w="110"/>
              <w:bottom w:type="dxa" w:w="60"/>
              <w:right w:type="dxa" w:w="110"/>
            </w:tcMar>
            <w:vAlign w:val="center"/>
          </w:tcPr>
          <w:p>
            <w:pPr>
              <w:spacing w:after="0" w:line="248"/>
            </w:pPr>
            <w:r>
              <w:rPr>
                <w:b/>
                <w:bCs/>
                <w:color w:val="FFFFFF"/>
                <w:sz w:val="20"/>
                <w:szCs w:val="20"/>
              </w:rPr>
              <w:t xml:space="preserve">Letter</w:t>
            </w:r>
          </w:p>
        </w:tc>
        <w:tc>
          <w:tcPr>
            <w:tcW w:type="dxa" w:w="6260"/>
            <w:shd w:fill="0B7B6B" w:val="clear"/>
            <w:tcMar>
              <w:top w:type="dxa" w:w="60"/>
              <w:left w:type="dxa" w:w="110"/>
              <w:bottom w:type="dxa" w:w="60"/>
              <w:right w:type="dxa" w:w="110"/>
            </w:tcMar>
            <w:vAlign w:val="center"/>
          </w:tcPr>
          <w:p>
            <w:pPr>
              <w:spacing w:after="0" w:line="248"/>
            </w:pPr>
            <w:r>
              <w:rPr>
                <w:b/>
                <w:bCs/>
                <w:color w:val="FFFFFF"/>
                <w:sz w:val="20"/>
                <w:szCs w:val="20"/>
              </w:rPr>
              <w:t xml:space="preserve">Description</w:t>
            </w:r>
          </w:p>
        </w:tc>
        <w:tc>
          <w:tcPr>
            <w:tcW w:type="dxa" w:w="2000"/>
            <w:shd w:fill="0B7B6B" w:val="clear"/>
            <w:tcMar>
              <w:top w:type="dxa" w:w="60"/>
              <w:left w:type="dxa" w:w="110"/>
              <w:bottom w:type="dxa" w:w="60"/>
              <w:right w:type="dxa" w:w="110"/>
            </w:tcMar>
            <w:vAlign w:val="center"/>
          </w:tcPr>
          <w:p>
            <w:pPr>
              <w:spacing w:after="0" w:line="248"/>
            </w:pPr>
            <w:r>
              <w:rPr>
                <w:b/>
                <w:bCs/>
                <w:color w:val="FFFFFF"/>
                <w:sz w:val="20"/>
                <w:szCs w:val="20"/>
              </w:rPr>
              <w:t xml:space="preserve">Grade point</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Excellent / superior performance; work of the highest quality</w:t>
            </w:r>
          </w:p>
        </w:tc>
        <w:tc>
          <w:tcPr>
            <w:tcW w:type="dxa" w:w="2000"/>
            <w:tcMar>
              <w:top w:type="dxa" w:w="60"/>
              <w:left w:type="dxa" w:w="110"/>
              <w:bottom w:type="dxa" w:w="60"/>
              <w:right w:type="dxa" w:w="110"/>
            </w:tcMar>
            <w:vAlign w:val="center"/>
          </w:tcPr>
          <w:p>
            <w:pPr>
              <w:spacing w:after="0" w:before="0" w:line="264"/>
            </w:pPr>
            <w:r>
              <w:t xml:space="preserve">4.33</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Excellent / superior performance in all elements of the course</w:t>
            </w:r>
          </w:p>
        </w:tc>
        <w:tc>
          <w:tcPr>
            <w:tcW w:type="dxa" w:w="2000"/>
            <w:tcMar>
              <w:top w:type="dxa" w:w="60"/>
              <w:left w:type="dxa" w:w="110"/>
              <w:bottom w:type="dxa" w:w="60"/>
              <w:right w:type="dxa" w:w="110"/>
            </w:tcMar>
            <w:vAlign w:val="center"/>
          </w:tcPr>
          <w:p>
            <w:pPr>
              <w:spacing w:after="0" w:before="0" w:line="264"/>
            </w:pPr>
            <w:r>
              <w:t xml:space="preserve">4.00</w:t>
            </w:r>
          </w:p>
        </w:tc>
      </w:tr>
      <w:tr>
        <w:tc>
          <w:tcPr>
            <w:tcW w:type="dxa" w:w="1100"/>
            <w:tcMar>
              <w:top w:type="dxa" w:w="60"/>
              <w:left w:type="dxa" w:w="110"/>
              <w:bottom w:type="dxa" w:w="60"/>
              <w:right w:type="dxa" w:w="110"/>
            </w:tcMar>
            <w:vAlign w:val="center"/>
          </w:tcPr>
          <w:p>
            <w:pPr>
              <w:spacing w:after="0" w:before="0" w:line="264"/>
            </w:pPr>
            <w:r>
              <w:rPr>
                <w:b/>
                <w:bCs/>
              </w:rPr>
              <w:t xml:space="preserve">A-</w:t>
            </w:r>
          </w:p>
        </w:tc>
        <w:tc>
          <w:tcPr>
            <w:tcW w:type="dxa" w:w="6260"/>
            <w:tcMar>
              <w:top w:type="dxa" w:w="60"/>
              <w:left w:type="dxa" w:w="110"/>
              <w:bottom w:type="dxa" w:w="60"/>
              <w:right w:type="dxa" w:w="110"/>
            </w:tcMar>
            <w:vAlign w:val="center"/>
          </w:tcPr>
          <w:p>
            <w:pPr>
              <w:spacing w:after="0" w:before="0" w:line="264"/>
            </w:pPr>
            <w:r>
              <w:t xml:space="preserve">Superior performance in most aspects of the course</w:t>
            </w:r>
          </w:p>
        </w:tc>
        <w:tc>
          <w:tcPr>
            <w:tcW w:type="dxa" w:w="2000"/>
            <w:tcMar>
              <w:top w:type="dxa" w:w="60"/>
              <w:left w:type="dxa" w:w="110"/>
              <w:bottom w:type="dxa" w:w="60"/>
              <w:right w:type="dxa" w:w="110"/>
            </w:tcMar>
            <w:vAlign w:val="center"/>
          </w:tcPr>
          <w:p>
            <w:pPr>
              <w:spacing w:after="0" w:before="0" w:line="264"/>
            </w:pPr>
            <w:r>
              <w:t xml:space="preserve">3.67</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Good; high-quality performance in all or most elements</w:t>
            </w:r>
          </w:p>
        </w:tc>
        <w:tc>
          <w:tcPr>
            <w:tcW w:type="dxa" w:w="2000"/>
            <w:tcMar>
              <w:top w:type="dxa" w:w="60"/>
              <w:left w:type="dxa" w:w="110"/>
              <w:bottom w:type="dxa" w:w="60"/>
              <w:right w:type="dxa" w:w="110"/>
            </w:tcMar>
            <w:vAlign w:val="center"/>
          </w:tcPr>
          <w:p>
            <w:pPr>
              <w:spacing w:after="0" w:before="0" w:line="264"/>
            </w:pPr>
            <w:r>
              <w:t xml:space="preserve">3.33</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Good; high-quality in some elements, satisfactory in others</w:t>
            </w:r>
          </w:p>
        </w:tc>
        <w:tc>
          <w:tcPr>
            <w:tcW w:type="dxa" w:w="2000"/>
            <w:tcMar>
              <w:top w:type="dxa" w:w="60"/>
              <w:left w:type="dxa" w:w="110"/>
              <w:bottom w:type="dxa" w:w="60"/>
              <w:right w:type="dxa" w:w="110"/>
            </w:tcMar>
            <w:vAlign w:val="center"/>
          </w:tcPr>
          <w:p>
            <w:pPr>
              <w:spacing w:after="0" w:before="0" w:line="264"/>
            </w:pPr>
            <w:r>
              <w:t xml:space="preserve">3.00</w:t>
            </w:r>
          </w:p>
        </w:tc>
      </w:tr>
      <w:tr>
        <w:tc>
          <w:tcPr>
            <w:tcW w:type="dxa" w:w="1100"/>
            <w:tcMar>
              <w:top w:type="dxa" w:w="60"/>
              <w:left w:type="dxa" w:w="110"/>
              <w:bottom w:type="dxa" w:w="60"/>
              <w:right w:type="dxa" w:w="110"/>
            </w:tcMar>
            <w:vAlign w:val="center"/>
          </w:tcPr>
          <w:p>
            <w:pPr>
              <w:spacing w:after="0" w:before="0" w:line="264"/>
            </w:pPr>
            <w:r>
              <w:rPr>
                <w:b/>
                <w:bCs/>
              </w:rPr>
              <w:t xml:space="preserve">B-</w:t>
            </w:r>
          </w:p>
        </w:tc>
        <w:tc>
          <w:tcPr>
            <w:tcW w:type="dxa" w:w="6260"/>
            <w:tcMar>
              <w:top w:type="dxa" w:w="60"/>
              <w:left w:type="dxa" w:w="110"/>
              <w:bottom w:type="dxa" w:w="60"/>
              <w:right w:type="dxa" w:w="110"/>
            </w:tcMar>
            <w:vAlign w:val="center"/>
          </w:tcPr>
          <w:p>
            <w:pPr>
              <w:spacing w:after="0" w:before="0" w:line="264"/>
            </w:pPr>
            <w:r>
              <w:t xml:space="preserve">Satisfactory performance; sufficient learning to continue</w:t>
            </w:r>
          </w:p>
        </w:tc>
        <w:tc>
          <w:tcPr>
            <w:tcW w:type="dxa" w:w="2000"/>
            <w:tcMar>
              <w:top w:type="dxa" w:w="60"/>
              <w:left w:type="dxa" w:w="110"/>
              <w:bottom w:type="dxa" w:w="60"/>
              <w:right w:type="dxa" w:w="110"/>
            </w:tcMar>
            <w:vAlign w:val="center"/>
          </w:tcPr>
          <w:p>
            <w:pPr>
              <w:spacing w:after="0" w:before="0" w:line="264"/>
            </w:pPr>
            <w:r>
              <w:t xml:space="preserve">2.67</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Satisfactory in most of the course, the remainder substandard</w:t>
            </w:r>
          </w:p>
        </w:tc>
        <w:tc>
          <w:tcPr>
            <w:tcW w:type="dxa" w:w="2000"/>
            <w:tcMar>
              <w:top w:type="dxa" w:w="60"/>
              <w:left w:type="dxa" w:w="110"/>
              <w:bottom w:type="dxa" w:w="60"/>
              <w:right w:type="dxa" w:w="110"/>
            </w:tcMar>
            <w:vAlign w:val="center"/>
          </w:tcPr>
          <w:p>
            <w:pPr>
              <w:spacing w:after="0" w:before="0" w:line="264"/>
            </w:pPr>
            <w:r>
              <w:t xml:space="preserve">2.33</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Some learning, but generally marginal performance</w:t>
            </w:r>
          </w:p>
        </w:tc>
        <w:tc>
          <w:tcPr>
            <w:tcW w:type="dxa" w:w="2000"/>
            <w:tcMar>
              <w:top w:type="dxa" w:w="60"/>
              <w:left w:type="dxa" w:w="110"/>
              <w:bottom w:type="dxa" w:w="60"/>
              <w:right w:type="dxa" w:w="110"/>
            </w:tcMar>
            <w:vAlign w:val="center"/>
          </w:tcPr>
          <w:p>
            <w:pPr>
              <w:spacing w:after="0" w:before="0" w:line="264"/>
            </w:pPr>
            <w:r>
              <w:t xml:space="preserve">2.00</w:t>
            </w:r>
          </w:p>
        </w:tc>
      </w:tr>
      <w:tr>
        <w:tc>
          <w:tcPr>
            <w:tcW w:type="dxa" w:w="1100"/>
            <w:tcMar>
              <w:top w:type="dxa" w:w="60"/>
              <w:left w:type="dxa" w:w="110"/>
              <w:bottom w:type="dxa" w:w="60"/>
              <w:right w:type="dxa" w:w="110"/>
            </w:tcMar>
            <w:vAlign w:val="center"/>
          </w:tcPr>
          <w:p>
            <w:pPr>
              <w:spacing w:after="0" w:before="0" w:line="264"/>
            </w:pPr>
            <w:r>
              <w:rPr>
                <w:b/>
                <w:bCs/>
              </w:rPr>
              <w:t xml:space="preserve">C-</w:t>
            </w:r>
          </w:p>
        </w:tc>
        <w:tc>
          <w:tcPr>
            <w:tcW w:type="dxa" w:w="6260"/>
            <w:tcMar>
              <w:top w:type="dxa" w:w="60"/>
              <w:left w:type="dxa" w:w="110"/>
              <w:bottom w:type="dxa" w:w="60"/>
              <w:right w:type="dxa" w:w="110"/>
            </w:tcMar>
            <w:vAlign w:val="center"/>
          </w:tcPr>
          <w:p>
            <w:pPr>
              <w:spacing w:after="0" w:before="0" w:line="264"/>
            </w:pPr>
            <w:r>
              <w:t xml:space="preserve">Poor; minimal learning and substandard performance</w:t>
            </w:r>
          </w:p>
        </w:tc>
        <w:tc>
          <w:tcPr>
            <w:tcW w:type="dxa" w:w="2000"/>
            <w:tcMar>
              <w:top w:type="dxa" w:w="60"/>
              <w:left w:type="dxa" w:w="110"/>
              <w:bottom w:type="dxa" w:w="60"/>
              <w:right w:type="dxa" w:w="110"/>
            </w:tcMar>
            <w:vAlign w:val="center"/>
          </w:tcPr>
          <w:p>
            <w:pPr>
              <w:spacing w:after="0" w:before="0" w:line="264"/>
            </w:pPr>
            <w:r>
              <w:t xml:space="preserve">1.67</w:t>
            </w:r>
          </w:p>
        </w:tc>
      </w:tr>
      <w:tr>
        <w:tc>
          <w:tcPr>
            <w:tcW w:type="dxa" w:w="1100"/>
            <w:tcMar>
              <w:top w:type="dxa" w:w="60"/>
              <w:left w:type="dxa" w:w="110"/>
              <w:bottom w:type="dxa" w:w="60"/>
              <w:right w:type="dxa" w:w="110"/>
            </w:tcMar>
            <w:vAlign w:val="center"/>
          </w:tcPr>
          <w:p>
            <w:pPr>
              <w:spacing w:after="0" w:before="0" w:line="264"/>
            </w:pPr>
            <w:r>
              <w:rPr>
                <w:b/>
                <w:bCs/>
              </w:rPr>
              <w:t xml:space="preserve">D</w:t>
            </w:r>
          </w:p>
        </w:tc>
        <w:tc>
          <w:tcPr>
            <w:tcW w:type="dxa" w:w="6260"/>
            <w:tcMar>
              <w:top w:type="dxa" w:w="60"/>
              <w:left w:type="dxa" w:w="110"/>
              <w:bottom w:type="dxa" w:w="60"/>
              <w:right w:type="dxa" w:w="110"/>
            </w:tcMar>
            <w:vAlign w:val="center"/>
          </w:tcPr>
          <w:p>
            <w:pPr>
              <w:spacing w:after="0" w:before="0" w:line="264"/>
            </w:pPr>
            <w:r>
              <w:t xml:space="preserve">Poor; minimal learning and low-quality performance</w:t>
            </w:r>
          </w:p>
        </w:tc>
        <w:tc>
          <w:tcPr>
            <w:tcW w:type="dxa" w:w="2000"/>
            <w:tcMar>
              <w:top w:type="dxa" w:w="60"/>
              <w:left w:type="dxa" w:w="110"/>
              <w:bottom w:type="dxa" w:w="60"/>
              <w:right w:type="dxa" w:w="110"/>
            </w:tcMar>
            <w:vAlign w:val="center"/>
          </w:tcPr>
          <w:p>
            <w:pPr>
              <w:spacing w:after="0" w:before="0" w:line="264"/>
            </w:pPr>
            <w:r>
              <w:t xml:space="preserve">1.00</w:t>
            </w:r>
          </w:p>
        </w:tc>
      </w:tr>
      <w:tr>
        <w:tc>
          <w:tcPr>
            <w:tcW w:type="dxa" w:w="1100"/>
            <w:tcMar>
              <w:top w:type="dxa" w:w="60"/>
              <w:left w:type="dxa" w:w="110"/>
              <w:bottom w:type="dxa" w:w="60"/>
              <w:right w:type="dxa" w:w="110"/>
            </w:tcMar>
            <w:vAlign w:val="center"/>
          </w:tcPr>
          <w:p>
            <w:pPr>
              <w:spacing w:after="0" w:before="0" w:line="264"/>
            </w:pPr>
            <w:r>
              <w:rPr>
                <w:b/>
                <w:bCs/>
              </w:rPr>
              <w:t xml:space="preserve">F</w:t>
            </w:r>
          </w:p>
        </w:tc>
        <w:tc>
          <w:tcPr>
            <w:tcW w:type="dxa" w:w="6260"/>
            <w:tcMar>
              <w:top w:type="dxa" w:w="60"/>
              <w:left w:type="dxa" w:w="110"/>
              <w:bottom w:type="dxa" w:w="60"/>
              <w:right w:type="dxa" w:w="110"/>
            </w:tcMar>
            <w:vAlign w:val="center"/>
          </w:tcPr>
          <w:p>
            <w:pPr>
              <w:spacing w:after="0" w:before="0" w:line="264"/>
            </w:pPr>
            <w:r>
              <w:t xml:space="preserve">Failure; complete absence of evidence of learning</w:t>
            </w:r>
          </w:p>
        </w:tc>
        <w:tc>
          <w:tcPr>
            <w:tcW w:type="dxa" w:w="2000"/>
            <w:tcMar>
              <w:top w:type="dxa" w:w="60"/>
              <w:left w:type="dxa" w:w="110"/>
              <w:bottom w:type="dxa" w:w="60"/>
              <w:right w:type="dxa" w:w="110"/>
            </w:tcMar>
            <w:vAlign w:val="center"/>
          </w:tcPr>
          <w:p>
            <w:pPr>
              <w:spacing w:after="0" w:before="0" w:line="264"/>
            </w:pPr>
            <w:r>
              <w:t xml:space="preserve">0.00</w:t>
            </w:r>
          </w:p>
        </w:tc>
      </w:tr>
      <w:tr>
        <w:tc>
          <w:tcPr>
            <w:tcW w:type="dxa" w:w="1100"/>
            <w:tcMar>
              <w:top w:type="dxa" w:w="60"/>
              <w:left w:type="dxa" w:w="110"/>
              <w:bottom w:type="dxa" w:w="60"/>
              <w:right w:type="dxa" w:w="110"/>
            </w:tcMar>
            <w:vAlign w:val="center"/>
          </w:tcPr>
          <w:p>
            <w:pPr>
              <w:spacing w:after="0" w:before="0" w:line="264"/>
            </w:pPr>
            <w:r>
              <w:rPr>
                <w:b/>
                <w:bCs/>
              </w:rPr>
              <w:t xml:space="preserve">N</w:t>
            </w:r>
          </w:p>
        </w:tc>
        <w:tc>
          <w:tcPr>
            <w:tcW w:type="dxa" w:w="6260"/>
            <w:tcMar>
              <w:top w:type="dxa" w:w="60"/>
              <w:left w:type="dxa" w:w="110"/>
              <w:bottom w:type="dxa" w:w="60"/>
              <w:right w:type="dxa" w:w="110"/>
            </w:tcMar>
            <w:vAlign w:val="center"/>
          </w:tcPr>
          <w:p>
            <w:pPr>
              <w:spacing w:after="0" w:before="0" w:line="264"/>
            </w:pPr>
            <w:r>
              <w:t xml:space="preserve">Did not write the final examination or otherwise complete the course</w:t>
            </w:r>
          </w:p>
        </w:tc>
        <w:tc>
          <w:tcPr>
            <w:tcW w:type="dxa" w:w="2000"/>
            <w:tcMar>
              <w:top w:type="dxa" w:w="60"/>
              <w:left w:type="dxa" w:w="110"/>
              <w:bottom w:type="dxa" w:w="60"/>
              <w:right w:type="dxa" w:w="110"/>
            </w:tcMar>
            <w:vAlign w:val="center"/>
          </w:tcPr>
          <w:p>
            <w:pPr>
              <w:spacing w:after="0" w:before="0" w:line="264"/>
            </w:pPr>
            <w:r>
              <w:t xml:space="preserve">0.00</w:t>
            </w:r>
          </w:p>
        </w:tc>
      </w:tr>
    </w:tbl>
    <w:p>
      <w:pPr>
        <w:spacing w:after="100" w:before="80" w:line="264"/>
      </w:pPr>
      <w:r>
        <w:t xml:space="preserve">FHS grading guideline: lower-division (100- and 200-level) undergraduate courses should, in general, have no more than 5% A+ grades, and the median letter grade should be a B-/B.</w:t>
      </w:r>
    </w:p>
    <w:p>
      <w:pPr>
        <w:pStyle w:val="Heading2"/>
      </w:pPr>
      <w:r>
        <w:t xml:space="preserve">Grade appeals</w:t>
      </w:r>
    </w:p>
    <w:p>
      <w:pPr>
        <w:spacing w:after="100" w:before="0" w:line="264"/>
      </w:pPr>
      <w:r>
        <w:t xml:space="preserve">Refer to the SFU Calendar for information about appealing a grade. A student who wishes to dispute a grade on an assignment or for the course should write down the details and reason for the appeal, submit that write-up with all relevant paperwork to the instructor, and set up a meeting to discuss it. SFU Policy T20.01 (https://www.sfu.ca/policies/gazette/teaching/t20-01.html) sets out the steps for appealing a grade beyond the level of the instructor.</w:t>
      </w:r>
    </w:p>
    <w:p>
      <w:pPr>
        <w:pStyle w:val="Heading1"/>
      </w:pPr>
      <w:r>
        <w:t xml:space="preserve">Weekly schedule</w:t>
      </w:r>
    </w:p>
    <w:p>
      <w:pPr>
        <w:spacing w:after="80" w:before="0" w:line="264"/>
      </w:pPr>
      <w:r>
        <w:rPr>
          <w:color w:val="555555"/>
          <w:sz w:val="19"/>
          <w:szCs w:val="19"/>
        </w:rPr>
        <w:t xml:space="preserve">One three-hour session per week. Topics may be adjusted as noted in the policies below; the examination timing will not change.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200"/>
        <w:gridCol w:w="3760"/>
        <w:gridCol w:w="2200"/>
        <w:gridCol w:w="2200"/>
      </w:tblGrid>
      <w:tr>
        <w:trPr>
          <w:tblHeader/>
        </w:trPr>
        <w:tc>
          <w:tcPr>
            <w:tcW w:type="dxa" w:w="1200"/>
            <w:shd w:fill="0B7B6B" w:val="clear"/>
            <w:tcMar>
              <w:top w:type="dxa" w:w="60"/>
              <w:left w:type="dxa" w:w="110"/>
              <w:bottom w:type="dxa" w:w="60"/>
              <w:right w:type="dxa" w:w="110"/>
            </w:tcMar>
            <w:vAlign w:val="center"/>
          </w:tcPr>
          <w:p>
            <w:pPr>
              <w:spacing w:after="0" w:line="248"/>
            </w:pPr>
            <w:r>
              <w:rPr>
                <w:b/>
                <w:bCs/>
                <w:color w:val="FFFFFF"/>
                <w:sz w:val="20"/>
                <w:szCs w:val="20"/>
              </w:rPr>
              <w:t xml:space="preserve">Week</w:t>
            </w:r>
          </w:p>
        </w:tc>
        <w:tc>
          <w:tcPr>
            <w:tcW w:type="dxa" w:w="3760"/>
            <w:shd w:fill="0B7B6B" w:val="clear"/>
            <w:tcMar>
              <w:top w:type="dxa" w:w="60"/>
              <w:left w:type="dxa" w:w="110"/>
              <w:bottom w:type="dxa" w:w="60"/>
              <w:right w:type="dxa" w:w="110"/>
            </w:tcMar>
            <w:vAlign w:val="center"/>
          </w:tcPr>
          <w:p>
            <w:pPr>
              <w:spacing w:after="0" w:line="248"/>
            </w:pPr>
            <w:r>
              <w:rPr>
                <w:b/>
                <w:bCs/>
                <w:color w:val="FFFFFF"/>
                <w:sz w:val="20"/>
                <w:szCs w:val="20"/>
              </w:rPr>
              <w:t xml:space="preserve">In-class session</w:t>
            </w:r>
          </w:p>
        </w:tc>
        <w:tc>
          <w:tcPr>
            <w:tcW w:type="dxa" w:w="2200"/>
            <w:shd w:fill="0B7B6B" w:val="clear"/>
            <w:tcMar>
              <w:top w:type="dxa" w:w="60"/>
              <w:left w:type="dxa" w:w="110"/>
              <w:bottom w:type="dxa" w:w="60"/>
              <w:right w:type="dxa" w:w="110"/>
            </w:tcMar>
            <w:vAlign w:val="center"/>
          </w:tcPr>
          <w:p>
            <w:pPr>
              <w:spacing w:after="0" w:line="248"/>
            </w:pPr>
            <w:r>
              <w:rPr>
                <w:b/>
                <w:bCs/>
                <w:color w:val="FFFFFF"/>
                <w:sz w:val="20"/>
                <w:szCs w:val="20"/>
              </w:rPr>
              <w:t xml:space="preserve">Pre-class preparation</w:t>
            </w:r>
          </w:p>
        </w:tc>
        <w:tc>
          <w:tcPr>
            <w:tcW w:type="dxa" w:w="2200"/>
            <w:shd w:fill="0B7B6B" w:val="clear"/>
            <w:tcMar>
              <w:top w:type="dxa" w:w="60"/>
              <w:left w:type="dxa" w:w="110"/>
              <w:bottom w:type="dxa" w:w="60"/>
              <w:right w:type="dxa" w:w="110"/>
            </w:tcMar>
            <w:vAlign w:val="center"/>
          </w:tcPr>
          <w:p>
            <w:pPr>
              <w:spacing w:after="0" w:line="248"/>
            </w:pPr>
            <w:r>
              <w:rPr>
                <w:b/>
                <w:bCs/>
                <w:color w:val="FFFFFF"/>
                <w:sz w:val="20"/>
                <w:szCs w:val="20"/>
              </w:rPr>
              <w:t xml:space="preserve">Term-project milestone</w:t>
            </w:r>
          </w:p>
        </w:tc>
      </w:tr>
      <w:tr>
        <w:tc>
          <w:tcPr>
            <w:tcW w:type="dxa" w:w="1200"/>
            <w:tcMar>
              <w:top w:type="dxa" w:w="60"/>
              <w:left w:type="dxa" w:w="110"/>
              <w:bottom w:type="dxa" w:w="60"/>
              <w:right w:type="dxa" w:w="110"/>
            </w:tcMar>
            <w:vAlign w:val="center"/>
          </w:tcPr>
          <w:p>
            <w:pPr>
              <w:spacing w:after="0" w:line="248"/>
            </w:pPr>
            <w:r>
              <w:rPr>
                <w:sz w:val="20"/>
                <w:szCs w:val="20"/>
              </w:rPr>
              <w:t xml:space="preserve">Week 1</w:t>
            </w:r>
          </w:p>
        </w:tc>
        <w:tc>
          <w:tcPr>
            <w:tcW w:type="dxa" w:w="3760"/>
            <w:tcMar>
              <w:top w:type="dxa" w:w="60"/>
              <w:left w:type="dxa" w:w="110"/>
              <w:bottom w:type="dxa" w:w="60"/>
              <w:right w:type="dxa" w:w="110"/>
            </w:tcMar>
            <w:vAlign w:val="center"/>
          </w:tcPr>
          <w:p>
            <w:pPr>
              <w:spacing w:after="0" w:line="248"/>
            </w:pPr>
            <w:r>
              <w:rPr>
                <w:sz w:val="20"/>
                <w:szCs w:val="20"/>
              </w:rPr>
              <w:t xml:space="preserve">Lesson 1: Conceptualizing Health Illness and Disease</w:t>
            </w:r>
          </w:p>
        </w:tc>
        <w:tc>
          <w:tcPr>
            <w:tcW w:type="dxa" w:w="2200"/>
            <w:tcMar>
              <w:top w:type="dxa" w:w="60"/>
              <w:left w:type="dxa" w:w="110"/>
              <w:bottom w:type="dxa" w:w="60"/>
              <w:right w:type="dxa" w:w="110"/>
            </w:tcMar>
            <w:vAlign w:val="center"/>
          </w:tcPr>
          <w:p>
            <w:pPr>
              <w:spacing w:after="0" w:line="248"/>
            </w:pPr>
            <w:r>
              <w:rPr>
                <w:sz w:val="20"/>
                <w:szCs w:val="20"/>
              </w:rPr>
              <w:t xml:space="preserve">Lesson 1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 assigned</w:t>
            </w:r>
          </w:p>
        </w:tc>
      </w:tr>
      <w:tr>
        <w:tc>
          <w:tcPr>
            <w:tcW w:type="dxa" w:w="1200"/>
            <w:tcMar>
              <w:top w:type="dxa" w:w="60"/>
              <w:left w:type="dxa" w:w="110"/>
              <w:bottom w:type="dxa" w:w="60"/>
              <w:right w:type="dxa" w:w="110"/>
            </w:tcMar>
            <w:vAlign w:val="center"/>
          </w:tcPr>
          <w:p>
            <w:pPr>
              <w:spacing w:after="0" w:line="248"/>
            </w:pPr>
            <w:r>
              <w:rPr>
                <w:sz w:val="20"/>
                <w:szCs w:val="20"/>
              </w:rPr>
              <w:t xml:space="preserve">Week 2</w:t>
            </w:r>
          </w:p>
        </w:tc>
        <w:tc>
          <w:tcPr>
            <w:tcW w:type="dxa" w:w="3760"/>
            <w:tcMar>
              <w:top w:type="dxa" w:w="60"/>
              <w:left w:type="dxa" w:w="110"/>
              <w:bottom w:type="dxa" w:w="60"/>
              <w:right w:type="dxa" w:w="110"/>
            </w:tcMar>
            <w:vAlign w:val="center"/>
          </w:tcPr>
          <w:p>
            <w:pPr>
              <w:spacing w:after="0" w:line="248"/>
            </w:pPr>
            <w:r>
              <w:rPr>
                <w:sz w:val="20"/>
                <w:szCs w:val="20"/>
              </w:rPr>
              <w:t xml:space="preserve">Lesson 2: Rise of Public Health and Modern Surveillance</w:t>
            </w:r>
          </w:p>
        </w:tc>
        <w:tc>
          <w:tcPr>
            <w:tcW w:type="dxa" w:w="2200"/>
            <w:tcMar>
              <w:top w:type="dxa" w:w="60"/>
              <w:left w:type="dxa" w:w="110"/>
              <w:bottom w:type="dxa" w:w="60"/>
              <w:right w:type="dxa" w:w="110"/>
            </w:tcMar>
            <w:vAlign w:val="center"/>
          </w:tcPr>
          <w:p>
            <w:pPr>
              <w:spacing w:after="0" w:line="248"/>
            </w:pPr>
            <w:r>
              <w:rPr>
                <w:sz w:val="20"/>
                <w:szCs w:val="20"/>
              </w:rPr>
              <w:t xml:space="preserve">Lesson 2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 due: Topic Lock + Definitions Memo</w:t>
            </w:r>
          </w:p>
        </w:tc>
      </w:tr>
      <w:tr>
        <w:tc>
          <w:tcPr>
            <w:tcW w:type="dxa" w:w="1200"/>
            <w:tcMar>
              <w:top w:type="dxa" w:w="60"/>
              <w:left w:type="dxa" w:w="110"/>
              <w:bottom w:type="dxa" w:w="60"/>
              <w:right w:type="dxa" w:w="110"/>
            </w:tcMar>
            <w:vAlign w:val="center"/>
          </w:tcPr>
          <w:p>
            <w:pPr>
              <w:spacing w:after="0" w:line="248"/>
            </w:pPr>
            <w:r>
              <w:rPr>
                <w:sz w:val="20"/>
                <w:szCs w:val="20"/>
              </w:rPr>
              <w:t xml:space="preserve">Week 3</w:t>
            </w:r>
          </w:p>
        </w:tc>
        <w:tc>
          <w:tcPr>
            <w:tcW w:type="dxa" w:w="3760"/>
            <w:tcMar>
              <w:top w:type="dxa" w:w="60"/>
              <w:left w:type="dxa" w:w="110"/>
              <w:bottom w:type="dxa" w:w="60"/>
              <w:right w:type="dxa" w:w="110"/>
            </w:tcMar>
            <w:vAlign w:val="center"/>
          </w:tcPr>
          <w:p>
            <w:pPr>
              <w:spacing w:after="0" w:line="248"/>
            </w:pPr>
            <w:r>
              <w:rPr>
                <w:sz w:val="20"/>
                <w:szCs w:val="20"/>
              </w:rPr>
              <w:t xml:space="preserve">Lesson 3: Infectious Disease Sanitation and Hygiene</w:t>
            </w:r>
          </w:p>
        </w:tc>
        <w:tc>
          <w:tcPr>
            <w:tcW w:type="dxa" w:w="2200"/>
            <w:tcMar>
              <w:top w:type="dxa" w:w="60"/>
              <w:left w:type="dxa" w:w="110"/>
              <w:bottom w:type="dxa" w:w="60"/>
              <w:right w:type="dxa" w:w="110"/>
            </w:tcMar>
            <w:vAlign w:val="center"/>
          </w:tcPr>
          <w:p>
            <w:pPr>
              <w:spacing w:after="0" w:line="248"/>
            </w:pPr>
            <w:r>
              <w:rPr>
                <w:sz w:val="20"/>
                <w:szCs w:val="20"/>
              </w:rPr>
              <w:t xml:space="preserve">Lesson 3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2 due: Public-Health History &amp; Surveillance Timeline</w:t>
            </w:r>
          </w:p>
        </w:tc>
      </w:tr>
      <w:tr>
        <w:tc>
          <w:tcPr>
            <w:tcW w:type="dxa" w:w="1200"/>
            <w:tcMar>
              <w:top w:type="dxa" w:w="60"/>
              <w:left w:type="dxa" w:w="110"/>
              <w:bottom w:type="dxa" w:w="60"/>
              <w:right w:type="dxa" w:w="110"/>
            </w:tcMar>
            <w:vAlign w:val="center"/>
          </w:tcPr>
          <w:p>
            <w:pPr>
              <w:spacing w:after="0" w:line="248"/>
            </w:pPr>
            <w:r>
              <w:rPr>
                <w:sz w:val="20"/>
                <w:szCs w:val="20"/>
              </w:rPr>
              <w:t xml:space="preserve">Week 4</w:t>
            </w:r>
          </w:p>
        </w:tc>
        <w:tc>
          <w:tcPr>
            <w:tcW w:type="dxa" w:w="3760"/>
            <w:tcMar>
              <w:top w:type="dxa" w:w="60"/>
              <w:left w:type="dxa" w:w="110"/>
              <w:bottom w:type="dxa" w:w="60"/>
              <w:right w:type="dxa" w:w="110"/>
            </w:tcMar>
            <w:vAlign w:val="center"/>
          </w:tcPr>
          <w:p>
            <w:pPr>
              <w:spacing w:after="0" w:line="248"/>
            </w:pPr>
            <w:r>
              <w:rPr>
                <w:sz w:val="20"/>
                <w:szCs w:val="20"/>
              </w:rPr>
              <w:t xml:space="preserve">Lesson 4: Nutrition Physical Activity and Sleep</w:t>
            </w:r>
          </w:p>
        </w:tc>
        <w:tc>
          <w:tcPr>
            <w:tcW w:type="dxa" w:w="2200"/>
            <w:tcMar>
              <w:top w:type="dxa" w:w="60"/>
              <w:left w:type="dxa" w:w="110"/>
              <w:bottom w:type="dxa" w:w="60"/>
              <w:right w:type="dxa" w:w="110"/>
            </w:tcMar>
            <w:vAlign w:val="center"/>
          </w:tcPr>
          <w:p>
            <w:pPr>
              <w:spacing w:after="0" w:line="248"/>
            </w:pPr>
            <w:r>
              <w:rPr>
                <w:sz w:val="20"/>
                <w:szCs w:val="20"/>
              </w:rPr>
              <w:t xml:space="preserve">Lesson 4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3 due: Causal-Pathway Audit (Infectious Lens)</w:t>
            </w:r>
          </w:p>
        </w:tc>
      </w:tr>
      <w:tr>
        <w:tc>
          <w:tcPr>
            <w:tcW w:type="dxa" w:w="1200"/>
            <w:tcMar>
              <w:top w:type="dxa" w:w="60"/>
              <w:left w:type="dxa" w:w="110"/>
              <w:bottom w:type="dxa" w:w="60"/>
              <w:right w:type="dxa" w:w="110"/>
            </w:tcMar>
            <w:vAlign w:val="center"/>
          </w:tcPr>
          <w:p>
            <w:pPr>
              <w:spacing w:after="0" w:line="248"/>
            </w:pPr>
            <w:r>
              <w:rPr>
                <w:sz w:val="20"/>
                <w:szCs w:val="20"/>
              </w:rPr>
              <w:t xml:space="preserve">Week 5</w:t>
            </w:r>
          </w:p>
        </w:tc>
        <w:tc>
          <w:tcPr>
            <w:tcW w:type="dxa" w:w="3760"/>
            <w:tcMar>
              <w:top w:type="dxa" w:w="60"/>
              <w:left w:type="dxa" w:w="110"/>
              <w:bottom w:type="dxa" w:w="60"/>
              <w:right w:type="dxa" w:w="110"/>
            </w:tcMar>
            <w:vAlign w:val="center"/>
          </w:tcPr>
          <w:p>
            <w:pPr>
              <w:spacing w:after="0" w:line="248"/>
            </w:pPr>
            <w:r>
              <w:rPr>
                <w:sz w:val="20"/>
                <w:szCs w:val="20"/>
              </w:rPr>
              <w:t xml:space="preserve">Lesson 5: Sexual and Reproductive Health</w:t>
            </w:r>
          </w:p>
        </w:tc>
        <w:tc>
          <w:tcPr>
            <w:tcW w:type="dxa" w:w="2200"/>
            <w:tcMar>
              <w:top w:type="dxa" w:w="60"/>
              <w:left w:type="dxa" w:w="110"/>
              <w:bottom w:type="dxa" w:w="60"/>
              <w:right w:type="dxa" w:w="110"/>
            </w:tcMar>
            <w:vAlign w:val="center"/>
          </w:tcPr>
          <w:p>
            <w:pPr>
              <w:spacing w:after="0" w:line="248"/>
            </w:pPr>
            <w:r>
              <w:rPr>
                <w:sz w:val="20"/>
                <w:szCs w:val="20"/>
              </w:rPr>
              <w:t xml:space="preserve">Lesson 5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4 due: Evidence-Strength Audit (Lifestyle Pillars)</w:t>
            </w:r>
          </w:p>
        </w:tc>
      </w:tr>
      <w:tr>
        <w:tc>
          <w:tcPr>
            <w:tcW w:type="dxa" w:w="1200"/>
            <w:tcMar>
              <w:top w:type="dxa" w:w="60"/>
              <w:left w:type="dxa" w:w="110"/>
              <w:bottom w:type="dxa" w:w="60"/>
              <w:right w:type="dxa" w:w="110"/>
            </w:tcMar>
            <w:vAlign w:val="center"/>
          </w:tcPr>
          <w:p>
            <w:pPr>
              <w:spacing w:after="0" w:line="248"/>
            </w:pPr>
            <w:r>
              <w:rPr>
                <w:sz w:val="20"/>
                <w:szCs w:val="20"/>
              </w:rPr>
              <w:t xml:space="preserve">Week 6</w:t>
            </w:r>
          </w:p>
        </w:tc>
        <w:tc>
          <w:tcPr>
            <w:tcW w:type="dxa" w:w="3760"/>
            <w:tcMar>
              <w:top w:type="dxa" w:w="60"/>
              <w:left w:type="dxa" w:w="110"/>
              <w:bottom w:type="dxa" w:w="60"/>
              <w:right w:type="dxa" w:w="110"/>
            </w:tcMar>
            <w:vAlign w:val="center"/>
          </w:tcPr>
          <w:p>
            <w:pPr>
              <w:spacing w:after="0" w:line="248"/>
            </w:pPr>
            <w:r>
              <w:rPr>
                <w:sz w:val="20"/>
                <w:szCs w:val="20"/>
              </w:rPr>
              <w:t xml:space="preserve">Lesson 6: Human Development and the Life Course</w:t>
            </w:r>
          </w:p>
        </w:tc>
        <w:tc>
          <w:tcPr>
            <w:tcW w:type="dxa" w:w="2200"/>
            <w:tcMar>
              <w:top w:type="dxa" w:w="60"/>
              <w:left w:type="dxa" w:w="110"/>
              <w:bottom w:type="dxa" w:w="60"/>
              <w:right w:type="dxa" w:w="110"/>
            </w:tcMar>
            <w:vAlign w:val="center"/>
          </w:tcPr>
          <w:p>
            <w:pPr>
              <w:spacing w:after="0" w:line="248"/>
            </w:pPr>
            <w:r>
              <w:rPr>
                <w:sz w:val="20"/>
                <w:szCs w:val="20"/>
              </w:rPr>
              <w:t xml:space="preserve">Lesson 6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5 due: Stratified-Reasoning Audit (Sex, Gender, SRH)</w:t>
            </w:r>
          </w:p>
        </w:tc>
      </w:tr>
      <w:tr>
        <w:tc>
          <w:tcPr>
            <w:tcW w:type="dxa" w:w="1200"/>
            <w:shd w:fill="FBE9EC" w:val="clear"/>
            <w:tcMar>
              <w:top w:type="dxa" w:w="60"/>
              <w:left w:type="dxa" w:w="110"/>
              <w:bottom w:type="dxa" w:w="60"/>
              <w:right w:type="dxa" w:w="110"/>
            </w:tcMar>
            <w:vAlign w:val="center"/>
          </w:tcPr>
          <w:p>
            <w:pPr>
              <w:spacing w:after="0" w:before="0" w:line="264"/>
            </w:pPr>
            <w:r>
              <w:rPr>
                <w:b/>
                <w:bCs/>
              </w:rPr>
              <w:t xml:space="preserve">Week 7</w:t>
            </w:r>
          </w:p>
        </w:tc>
        <w:tc>
          <w:tcPr>
            <w:tcW w:type="dxa" w:w="3760"/>
            <w:shd w:fill="FBE9EC" w:val="clear"/>
            <w:tcMar>
              <w:top w:type="dxa" w:w="60"/>
              <w:left w:type="dxa" w:w="110"/>
              <w:bottom w:type="dxa" w:w="60"/>
              <w:right w:type="dxa" w:w="110"/>
            </w:tcMar>
            <w:vAlign w:val="center"/>
          </w:tcPr>
          <w:p>
            <w:pPr>
              <w:spacing w:after="0" w:before="0" w:line="264"/>
            </w:pPr>
            <w:r>
              <w:rPr>
                <w:b/>
                <w:bCs/>
                <w:color w:val="A3002A"/>
              </w:rPr>
              <w:t xml:space="preserve">Midterm examination (Lessons 1–6) + capstone studio</w:t>
            </w:r>
          </w:p>
        </w:tc>
        <w:tc>
          <w:tcPr>
            <w:tcW w:type="dxa" w:w="2200"/>
            <w:shd w:fill="FBE9EC" w:val="clear"/>
            <w:tcMar>
              <w:top w:type="dxa" w:w="60"/>
              <w:left w:type="dxa" w:w="110"/>
              <w:bottom w:type="dxa" w:w="60"/>
              <w:right w:type="dxa" w:w="110"/>
            </w:tcMar>
            <w:vAlign w:val="center"/>
          </w:tcPr>
          <w:p>
            <w:pPr>
              <w:spacing w:after="0" w:before="0" w:line="264"/>
            </w:pPr>
            <w:r>
              <w:t xml:space="preserve">Review Lessons 1–6</w:t>
            </w:r>
          </w:p>
        </w:tc>
        <w:tc>
          <w:tcPr>
            <w:tcW w:type="dxa" w:w="2200"/>
            <w:shd w:fill="FBE9EC" w:val="clear"/>
            <w:tcMar>
              <w:top w:type="dxa" w:w="60"/>
              <w:left w:type="dxa" w:w="110"/>
              <w:bottom w:type="dxa" w:w="60"/>
              <w:right w:type="dxa" w:w="110"/>
            </w:tcMar>
            <w:vAlign w:val="center"/>
          </w:tcPr>
          <w:p>
            <w:pPr>
              <w:spacing w:after="0" w:before="0" w:line="264"/>
            </w:pPr>
            <w:r>
              <w:t xml:space="preserve">Milestone 6 due: Life-Course Risk Map</w:t>
            </w:r>
          </w:p>
        </w:tc>
      </w:tr>
      <w:tr>
        <w:tc>
          <w:tcPr>
            <w:tcW w:type="dxa" w:w="1200"/>
            <w:tcMar>
              <w:top w:type="dxa" w:w="60"/>
              <w:left w:type="dxa" w:w="110"/>
              <w:bottom w:type="dxa" w:w="60"/>
              <w:right w:type="dxa" w:w="110"/>
            </w:tcMar>
            <w:vAlign w:val="center"/>
          </w:tcPr>
          <w:p>
            <w:pPr>
              <w:spacing w:after="0" w:line="248"/>
            </w:pPr>
            <w:r>
              <w:rPr>
                <w:sz w:val="20"/>
                <w:szCs w:val="20"/>
              </w:rPr>
              <w:t xml:space="preserve">Week 8</w:t>
            </w:r>
          </w:p>
        </w:tc>
        <w:tc>
          <w:tcPr>
            <w:tcW w:type="dxa" w:w="3760"/>
            <w:tcMar>
              <w:top w:type="dxa" w:w="60"/>
              <w:left w:type="dxa" w:w="110"/>
              <w:bottom w:type="dxa" w:w="60"/>
              <w:right w:type="dxa" w:w="110"/>
            </w:tcMar>
            <w:vAlign w:val="center"/>
          </w:tcPr>
          <w:p>
            <w:pPr>
              <w:spacing w:after="0" w:line="248"/>
            </w:pPr>
            <w:r>
              <w:rPr>
                <w:sz w:val="20"/>
                <w:szCs w:val="20"/>
              </w:rPr>
              <w:t xml:space="preserve">Lesson 7: Genetics Genomics and Health</w:t>
            </w:r>
          </w:p>
        </w:tc>
        <w:tc>
          <w:tcPr>
            <w:tcW w:type="dxa" w:w="2200"/>
            <w:tcMar>
              <w:top w:type="dxa" w:w="60"/>
              <w:left w:type="dxa" w:w="110"/>
              <w:bottom w:type="dxa" w:w="60"/>
              <w:right w:type="dxa" w:w="110"/>
            </w:tcMar>
            <w:vAlign w:val="center"/>
          </w:tcPr>
          <w:p>
            <w:pPr>
              <w:spacing w:after="0" w:line="248"/>
            </w:pPr>
            <w:r>
              <w:rPr>
                <w:sz w:val="20"/>
                <w:szCs w:val="20"/>
              </w:rPr>
              <w:t xml:space="preserve">Lesson 7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7 in progress</w:t>
            </w:r>
          </w:p>
        </w:tc>
      </w:tr>
      <w:tr>
        <w:tc>
          <w:tcPr>
            <w:tcW w:type="dxa" w:w="1200"/>
            <w:tcMar>
              <w:top w:type="dxa" w:w="60"/>
              <w:left w:type="dxa" w:w="110"/>
              <w:bottom w:type="dxa" w:w="60"/>
              <w:right w:type="dxa" w:w="110"/>
            </w:tcMar>
            <w:vAlign w:val="center"/>
          </w:tcPr>
          <w:p>
            <w:pPr>
              <w:spacing w:after="0" w:line="248"/>
            </w:pPr>
            <w:r>
              <w:rPr>
                <w:sz w:val="20"/>
                <w:szCs w:val="20"/>
              </w:rPr>
              <w:t xml:space="preserve">Week 9</w:t>
            </w:r>
          </w:p>
        </w:tc>
        <w:tc>
          <w:tcPr>
            <w:tcW w:type="dxa" w:w="3760"/>
            <w:tcMar>
              <w:top w:type="dxa" w:w="60"/>
              <w:left w:type="dxa" w:w="110"/>
              <w:bottom w:type="dxa" w:w="60"/>
              <w:right w:type="dxa" w:w="110"/>
            </w:tcMar>
            <w:vAlign w:val="center"/>
          </w:tcPr>
          <w:p>
            <w:pPr>
              <w:spacing w:after="0" w:line="248"/>
            </w:pPr>
            <w:r>
              <w:rPr>
                <w:sz w:val="20"/>
                <w:szCs w:val="20"/>
              </w:rPr>
              <w:t xml:space="preserve">Lesson 8: Health Behaviors Mental Health and Social Influence</w:t>
            </w:r>
          </w:p>
        </w:tc>
        <w:tc>
          <w:tcPr>
            <w:tcW w:type="dxa" w:w="2200"/>
            <w:tcMar>
              <w:top w:type="dxa" w:w="60"/>
              <w:left w:type="dxa" w:w="110"/>
              <w:bottom w:type="dxa" w:w="60"/>
              <w:right w:type="dxa" w:w="110"/>
            </w:tcMar>
            <w:vAlign w:val="center"/>
          </w:tcPr>
          <w:p>
            <w:pPr>
              <w:spacing w:after="0" w:line="248"/>
            </w:pPr>
            <w:r>
              <w:rPr>
                <w:sz w:val="20"/>
                <w:szCs w:val="20"/>
              </w:rPr>
              <w:t xml:space="preserve">Lesson 8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7 due: Effect-Size Audit (Genetic &amp; Genomic)</w:t>
            </w:r>
          </w:p>
        </w:tc>
      </w:tr>
      <w:tr>
        <w:tc>
          <w:tcPr>
            <w:tcW w:type="dxa" w:w="1200"/>
            <w:tcMar>
              <w:top w:type="dxa" w:w="60"/>
              <w:left w:type="dxa" w:w="110"/>
              <w:bottom w:type="dxa" w:w="60"/>
              <w:right w:type="dxa" w:w="110"/>
            </w:tcMar>
            <w:vAlign w:val="center"/>
          </w:tcPr>
          <w:p>
            <w:pPr>
              <w:spacing w:after="0" w:line="248"/>
            </w:pPr>
            <w:r>
              <w:rPr>
                <w:sz w:val="20"/>
                <w:szCs w:val="20"/>
              </w:rPr>
              <w:t xml:space="preserve">Week 10</w:t>
            </w:r>
          </w:p>
        </w:tc>
        <w:tc>
          <w:tcPr>
            <w:tcW w:type="dxa" w:w="3760"/>
            <w:tcMar>
              <w:top w:type="dxa" w:w="60"/>
              <w:left w:type="dxa" w:w="110"/>
              <w:bottom w:type="dxa" w:w="60"/>
              <w:right w:type="dxa" w:w="110"/>
            </w:tcMar>
            <w:vAlign w:val="center"/>
          </w:tcPr>
          <w:p>
            <w:pPr>
              <w:spacing w:after="0" w:line="248"/>
            </w:pPr>
            <w:r>
              <w:rPr>
                <w:sz w:val="20"/>
                <w:szCs w:val="20"/>
              </w:rPr>
              <w:t xml:space="preserve">Lesson 9: Environmental Health Indoor Built and Natural</w:t>
            </w:r>
          </w:p>
        </w:tc>
        <w:tc>
          <w:tcPr>
            <w:tcW w:type="dxa" w:w="2200"/>
            <w:tcMar>
              <w:top w:type="dxa" w:w="60"/>
              <w:left w:type="dxa" w:w="110"/>
              <w:bottom w:type="dxa" w:w="60"/>
              <w:right w:type="dxa" w:w="110"/>
            </w:tcMar>
            <w:vAlign w:val="center"/>
          </w:tcPr>
          <w:p>
            <w:pPr>
              <w:spacing w:after="0" w:line="248"/>
            </w:pPr>
            <w:r>
              <w:rPr>
                <w:sz w:val="20"/>
                <w:szCs w:val="20"/>
              </w:rPr>
              <w:t xml:space="preserve">Lesson 9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8 due: Behavioural &amp; Mental-Health Pathways</w:t>
            </w:r>
          </w:p>
        </w:tc>
      </w:tr>
      <w:tr>
        <w:tc>
          <w:tcPr>
            <w:tcW w:type="dxa" w:w="1200"/>
            <w:tcMar>
              <w:top w:type="dxa" w:w="60"/>
              <w:left w:type="dxa" w:w="110"/>
              <w:bottom w:type="dxa" w:w="60"/>
              <w:right w:type="dxa" w:w="110"/>
            </w:tcMar>
            <w:vAlign w:val="center"/>
          </w:tcPr>
          <w:p>
            <w:pPr>
              <w:spacing w:after="0" w:line="248"/>
            </w:pPr>
            <w:r>
              <w:rPr>
                <w:sz w:val="20"/>
                <w:szCs w:val="20"/>
              </w:rPr>
              <w:t xml:space="preserve">Week 11</w:t>
            </w:r>
          </w:p>
        </w:tc>
        <w:tc>
          <w:tcPr>
            <w:tcW w:type="dxa" w:w="3760"/>
            <w:tcMar>
              <w:top w:type="dxa" w:w="60"/>
              <w:left w:type="dxa" w:w="110"/>
              <w:bottom w:type="dxa" w:w="60"/>
              <w:right w:type="dxa" w:w="110"/>
            </w:tcMar>
            <w:vAlign w:val="center"/>
          </w:tcPr>
          <w:p>
            <w:pPr>
              <w:spacing w:after="0" w:line="248"/>
            </w:pPr>
            <w:r>
              <w:rPr>
                <w:sz w:val="20"/>
                <w:szCs w:val="20"/>
              </w:rPr>
              <w:t xml:space="preserve">Lesson 10: Occupational Health and Worker Safety</w:t>
            </w:r>
          </w:p>
        </w:tc>
        <w:tc>
          <w:tcPr>
            <w:tcW w:type="dxa" w:w="2200"/>
            <w:tcMar>
              <w:top w:type="dxa" w:w="60"/>
              <w:left w:type="dxa" w:w="110"/>
              <w:bottom w:type="dxa" w:w="60"/>
              <w:right w:type="dxa" w:w="110"/>
            </w:tcMar>
            <w:vAlign w:val="center"/>
          </w:tcPr>
          <w:p>
            <w:pPr>
              <w:spacing w:after="0" w:line="248"/>
            </w:pPr>
            <w:r>
              <w:rPr>
                <w:sz w:val="20"/>
                <w:szCs w:val="20"/>
              </w:rPr>
              <w:t xml:space="preserve">Lesson 10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9 due: Environmental Exposures Audit</w:t>
            </w:r>
          </w:p>
        </w:tc>
      </w:tr>
      <w:tr>
        <w:tc>
          <w:tcPr>
            <w:tcW w:type="dxa" w:w="1200"/>
            <w:tcMar>
              <w:top w:type="dxa" w:w="60"/>
              <w:left w:type="dxa" w:w="110"/>
              <w:bottom w:type="dxa" w:w="60"/>
              <w:right w:type="dxa" w:w="110"/>
            </w:tcMar>
            <w:vAlign w:val="center"/>
          </w:tcPr>
          <w:p>
            <w:pPr>
              <w:spacing w:after="0" w:line="248"/>
            </w:pPr>
            <w:r>
              <w:rPr>
                <w:sz w:val="20"/>
                <w:szCs w:val="20"/>
              </w:rPr>
              <w:t xml:space="preserve">Week 12</w:t>
            </w:r>
          </w:p>
        </w:tc>
        <w:tc>
          <w:tcPr>
            <w:tcW w:type="dxa" w:w="3760"/>
            <w:tcMar>
              <w:top w:type="dxa" w:w="60"/>
              <w:left w:type="dxa" w:w="110"/>
              <w:bottom w:type="dxa" w:w="60"/>
              <w:right w:type="dxa" w:w="110"/>
            </w:tcMar>
            <w:vAlign w:val="center"/>
          </w:tcPr>
          <w:p>
            <w:pPr>
              <w:spacing w:after="0" w:line="248"/>
            </w:pPr>
            <w:r>
              <w:rPr>
                <w:sz w:val="20"/>
                <w:szCs w:val="20"/>
              </w:rPr>
              <w:t xml:space="preserve">Lesson 11: Social Economic and Political Determinants</w:t>
            </w:r>
          </w:p>
        </w:tc>
        <w:tc>
          <w:tcPr>
            <w:tcW w:type="dxa" w:w="2200"/>
            <w:tcMar>
              <w:top w:type="dxa" w:w="60"/>
              <w:left w:type="dxa" w:w="110"/>
              <w:bottom w:type="dxa" w:w="60"/>
              <w:right w:type="dxa" w:w="110"/>
            </w:tcMar>
            <w:vAlign w:val="center"/>
          </w:tcPr>
          <w:p>
            <w:pPr>
              <w:spacing w:after="0" w:line="248"/>
            </w:pPr>
            <w:r>
              <w:rPr>
                <w:sz w:val="20"/>
                <w:szCs w:val="20"/>
              </w:rPr>
              <w:t xml:space="preserve">Lesson 11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10 due: Concentrated-Exposure Audit (Occupational)</w:t>
            </w:r>
          </w:p>
        </w:tc>
      </w:tr>
      <w:tr>
        <w:tc>
          <w:tcPr>
            <w:tcW w:type="dxa" w:w="1200"/>
            <w:tcMar>
              <w:top w:type="dxa" w:w="60"/>
              <w:left w:type="dxa" w:w="110"/>
              <w:bottom w:type="dxa" w:w="60"/>
              <w:right w:type="dxa" w:w="110"/>
            </w:tcMar>
            <w:vAlign w:val="center"/>
          </w:tcPr>
          <w:p>
            <w:pPr>
              <w:spacing w:after="0" w:line="248"/>
            </w:pPr>
            <w:r>
              <w:rPr>
                <w:sz w:val="20"/>
                <w:szCs w:val="20"/>
              </w:rPr>
              <w:t xml:space="preserve">Week 13</w:t>
            </w:r>
          </w:p>
        </w:tc>
        <w:tc>
          <w:tcPr>
            <w:tcW w:type="dxa" w:w="3760"/>
            <w:tcMar>
              <w:top w:type="dxa" w:w="60"/>
              <w:left w:type="dxa" w:w="110"/>
              <w:bottom w:type="dxa" w:w="60"/>
              <w:right w:type="dxa" w:w="110"/>
            </w:tcMar>
            <w:vAlign w:val="center"/>
          </w:tcPr>
          <w:p>
            <w:pPr>
              <w:spacing w:after="0" w:line="248"/>
            </w:pPr>
            <w:r>
              <w:rPr>
                <w:sz w:val="20"/>
                <w:szCs w:val="20"/>
              </w:rPr>
              <w:t xml:space="preserve">Lesson 12: Disability Diversity and Integrating Foundations</w:t>
            </w:r>
          </w:p>
        </w:tc>
        <w:tc>
          <w:tcPr>
            <w:tcW w:type="dxa" w:w="2200"/>
            <w:tcMar>
              <w:top w:type="dxa" w:w="60"/>
              <w:left w:type="dxa" w:w="110"/>
              <w:bottom w:type="dxa" w:w="60"/>
              <w:right w:type="dxa" w:w="110"/>
            </w:tcMar>
            <w:vAlign w:val="center"/>
          </w:tcPr>
          <w:p>
            <w:pPr>
              <w:spacing w:after="0" w:line="248"/>
            </w:pPr>
            <w:r>
              <w:rPr>
                <w:sz w:val="20"/>
                <w:szCs w:val="20"/>
              </w:rPr>
              <w:t xml:space="preserve">Lesson 12 module + walkthrough</w:t>
            </w:r>
          </w:p>
        </w:tc>
        <w:tc>
          <w:tcPr>
            <w:tcW w:type="dxa" w:w="2200"/>
            <w:tcMar>
              <w:top w:type="dxa" w:w="60"/>
              <w:left w:type="dxa" w:w="110"/>
              <w:bottom w:type="dxa" w:w="60"/>
              <w:right w:type="dxa" w:w="110"/>
            </w:tcMar>
            <w:vAlign w:val="center"/>
          </w:tcPr>
          <w:p>
            <w:pPr>
              <w:spacing w:after="0" w:line="248"/>
            </w:pPr>
            <w:r>
              <w:rPr>
                <w:sz w:val="20"/>
                <w:szCs w:val="20"/>
              </w:rPr>
              <w:t xml:space="preserve">Milestone 11 due: Inequities &amp; Determinants Audit</w:t>
            </w:r>
          </w:p>
        </w:tc>
      </w:tr>
      <w:tr>
        <w:tc>
          <w:tcPr>
            <w:tcW w:type="dxa" w:w="1200"/>
            <w:shd w:fill="FBE9EC" w:val="clear"/>
            <w:tcMar>
              <w:top w:type="dxa" w:w="60"/>
              <w:left w:type="dxa" w:w="110"/>
              <w:bottom w:type="dxa" w:w="60"/>
              <w:right w:type="dxa" w:w="110"/>
            </w:tcMar>
            <w:vAlign w:val="center"/>
          </w:tcPr>
          <w:p>
            <w:pPr>
              <w:spacing w:after="0" w:before="0" w:line="264"/>
            </w:pPr>
            <w:r>
              <w:rPr>
                <w:b/>
                <w:bCs/>
              </w:rPr>
              <w:t xml:space="preserve">Exam period</w:t>
            </w:r>
          </w:p>
        </w:tc>
        <w:tc>
          <w:tcPr>
            <w:tcW w:type="dxa" w:w="3760"/>
            <w:shd w:fill="FBE9EC" w:val="clear"/>
            <w:tcMar>
              <w:top w:type="dxa" w:w="60"/>
              <w:left w:type="dxa" w:w="110"/>
              <w:bottom w:type="dxa" w:w="60"/>
              <w:right w:type="dxa" w:w="110"/>
            </w:tcMar>
            <w:vAlign w:val="center"/>
          </w:tcPr>
          <w:p>
            <w:pPr>
              <w:spacing w:after="0" w:before="0" w:line="264"/>
            </w:pPr>
            <w:r>
              <w:rPr>
                <w:b/>
                <w:bCs/>
                <w:color w:val="A3002A"/>
              </w:rPr>
              <w:t xml:space="preserve">Final examination (Lessons 7–12)</w:t>
            </w:r>
          </w:p>
        </w:tc>
        <w:tc>
          <w:tcPr>
            <w:tcW w:type="dxa" w:w="2200"/>
            <w:shd w:fill="FBE9EC" w:val="clear"/>
            <w:tcMar>
              <w:top w:type="dxa" w:w="60"/>
              <w:left w:type="dxa" w:w="110"/>
              <w:bottom w:type="dxa" w:w="60"/>
              <w:right w:type="dxa" w:w="110"/>
            </w:tcMar>
            <w:vAlign w:val="center"/>
          </w:tcPr>
          <w:p>
            <w:pPr>
              <w:spacing w:after="0" w:before="0" w:line="264"/>
            </w:pPr>
            <w:r>
              <w:t xml:space="preserve">Review Lessons 7–12</w:t>
            </w:r>
          </w:p>
        </w:tc>
        <w:tc>
          <w:tcPr>
            <w:tcW w:type="dxa" w:w="2200"/>
            <w:shd w:fill="FBE9EC" w:val="clear"/>
            <w:tcMar>
              <w:top w:type="dxa" w:w="60"/>
              <w:left w:type="dxa" w:w="110"/>
              <w:bottom w:type="dxa" w:w="60"/>
              <w:right w:type="dxa" w:w="110"/>
            </w:tcMar>
            <w:vAlign w:val="center"/>
          </w:tcPr>
          <w:p>
            <w:pPr>
              <w:spacing w:after="0" w:before="0" w:line="264"/>
            </w:pPr>
            <w:r>
              <w:t xml:space="preserve">Final The Health-Topic Biography + peer review due</w:t>
            </w:r>
          </w:p>
        </w:tc>
      </w:tr>
    </w:tbl>
    <w:p>
      <w:pPr>
        <w:pStyle w:val="Heading1"/>
      </w:pPr>
      <w:r>
        <w:t xml:space="preserve">Course policies</w:t>
      </w:r>
    </w:p>
    <w:p>
      <w:pPr>
        <w:pStyle w:val="Heading2"/>
      </w:pPr>
      <w:r>
        <w:t xml:space="preserve">Late work</w:t>
      </w:r>
    </w:p>
    <w:p>
      <w:pPr>
        <w:spacing w:after="100" w:before="0" w:line="264"/>
      </w:pPr>
      <w:r>
        <w:t xml:space="preserve">Each weekly milestone is due before the next class. One late milestone per term may be submitted within seven days for full credit, no questions asked, provided you email the instructor before the deadline. Beyond that allowance, late milestones lose 20% per day. Other assignments follow the same 20%-per-day rule unless their brief states otherwise.</w:t>
      </w:r>
    </w:p>
    <w:p>
      <w:pPr>
        <w:pStyle w:val="Heading2"/>
      </w:pPr>
      <w:r>
        <w:t xml:space="preserve">Missed examinations</w:t>
      </w:r>
    </w:p>
    <w:p>
      <w:pPr>
        <w:spacing w:after="100" w:before="0" w:line="264"/>
      </w:pPr>
      <w:r>
        <w:t xml:space="preserve">A missed examination receives a grade of zero unless the absence is for a documented and compelling reason such as illness, accident, or bereavement. Contact the instructor as soon as you are able, and before the examination where possible. A make-up examination, which may differ in form, will be scheduled at the instructor's discretion on receipt of appropriate documentation.</w:t>
      </w:r>
    </w:p>
    <w:p>
      <w:pPr>
        <w:pStyle w:val="Heading2"/>
      </w:pPr>
      <w:r>
        <w:t xml:space="preserve">Attendance</w:t>
      </w:r>
    </w:p>
    <w:p>
      <w:pPr>
        <w:spacing w:after="100" w:before="0" w:line="264"/>
      </w:pPr>
      <w:r>
        <w:t xml:space="preserve">Because the sessions are participatory and the term project is built in class, regular attendance matters, and the in-class participation grade depends on being present and engaged. If you must miss a session, let the instructor know and arrange to complete that week's in-class exercise.</w:t>
      </w:r>
    </w:p>
    <w:p>
      <w:pPr>
        <w:pStyle w:val="Heading2"/>
      </w:pPr>
      <w:r>
        <w:t xml:space="preserve">Group work</w:t>
      </w:r>
    </w:p>
    <w:p>
      <w:pPr>
        <w:spacing w:after="100" w:before="0" w:line="264"/>
      </w:pPr>
      <w:r>
        <w:t xml:space="preserve">The term project is individual work. Discussing your project with classmates is encouraged, and several in-class exercises are collaborative, but each milestone and the final deliverable must be your own work in your own words. Collaborative in-class exercises are assessed only through the individual participation component, not by a shared grade.</w:t>
      </w:r>
    </w:p>
    <w:p>
      <w:pPr>
        <w:pStyle w:val="Heading2"/>
      </w:pPr>
      <w:r>
        <w:t xml:space="preserve">Devices in class</w:t>
      </w:r>
    </w:p>
    <w:p>
      <w:pPr>
        <w:spacing w:after="100" w:before="0" w:line="264"/>
      </w:pPr>
      <w:r>
        <w:t xml:space="preserve">Laptops, tablets, and phones are welcome when used for course work. During the question-and-answer clinic and discussion, please set devices aside so the room stays focused. The in-class studio assumes you have your project materials accessible.</w:t>
      </w:r>
    </w:p>
    <w:p>
      <w:pPr>
        <w:pStyle w:val="Heading2"/>
      </w:pPr>
      <w:r>
        <w:t xml:space="preserve">Use of generative AI</w:t>
      </w:r>
    </w:p>
    <w:p>
      <w:pPr>
        <w:spacing w:after="100" w:before="0" w:line="264"/>
      </w:pPr>
      <w:r>
        <w:t xml:space="preserve">Generative AI tools (for example ChatGPT or Claude) may be used for editing and brainstorming on the term project, but not for producing analysis or text that you then submit as your own. Disclose any AI assistance in a one-line statement at the foot of each milestone, naming what the tool did and confirming that you reviewed and revised its output. Do not paste AI-generated text without verification and disclosure. Examinations are written without AI assistance. Undisclosed use is treated as an academic-integrity matter under the policy above.</w:t>
      </w:r>
    </w:p>
    <w:p>
      <w:pPr>
        <w:pStyle w:val="Heading2"/>
      </w:pPr>
      <w:r>
        <w:t xml:space="preserve">Academic honesty</w:t>
      </w:r>
    </w:p>
    <w:p>
      <w:pPr>
        <w:spacing w:after="100" w:before="0" w:line="264"/>
      </w:pPr>
      <w:r>
        <w:t xml:space="preserve">Academic Honesty plays a key role in our efforts to maintain a high standard of academic excellence and integrity. Students are advised that ALL acts of intellectual dishonesty are subject to disciplinary action by the University; serious infractions are dealt with in accordance with the Code of Academic Honesty (Policy S10: http://www.sfu.ca/policies/gazette/student.html). Students are strongly encouraged to read the policy and inform themselves of the definitions and consequences.</w:t>
      </w:r>
    </w:p>
    <w:p>
      <w:pPr>
        <w:spacing w:after="100" w:before="0" w:line="264"/>
      </w:pPr>
      <w:r>
        <w:t xml:space="preserve">FHS adheres to SFU Academic Honesty and Student Conduct policies. Students in this course are responsible for knowing these policies, at http://www.sfu.ca/policies/Students/. A tutorial on plagiarism is at http://www.lib.sfu.ca/help/writing/plagiarism. If the instructor believes a student has committed an act of academic dishonesty, the matter will be reported to the SFU Registrar on the required form. In this course, a finding of cheating (whether plagiarism or another type) results in a grade of zero for that test or assignment.</w:t>
      </w:r>
    </w:p>
    <w:p>
      <w:pPr>
        <w:pStyle w:val="Heading2"/>
      </w:pPr>
      <w:r>
        <w:t xml:space="preserve">Accessibility and accommodation</w:t>
      </w:r>
    </w:p>
    <w:p>
      <w:pPr>
        <w:spacing w:after="100" w:before="0" w:line="264"/>
      </w:pPr>
      <w:r>
        <w:t xml:space="preserve">Students who require accommodation for a disability or an ongoing health condition should register with the SFU Centre for Accessible Learning (CAL; https://www.sfu.ca/students/accessible-learning.html) and provide their accommodation letter early in the term so that arrangements can be made in good time.</w:t>
      </w:r>
    </w:p>
    <w:p>
      <w:pPr>
        <w:pStyle w:val="Heading2"/>
      </w:pPr>
      <w:r>
        <w:t xml:space="preserve">Changes to the syllabus</w:t>
      </w:r>
    </w:p>
    <w:p>
      <w:pPr>
        <w:spacing w:after="100" w:before="0" w:line="264"/>
      </w:pPr>
      <w:r>
        <w:t xml:space="preserve">The instructor may make minor changes to the syllabus throughout the course. Changes will be announced in class and through Canvas. As a matter of fairness, grading policies, student-conduct and academic-honesty policies, and the timing of the examinations will not change once the syllabus has been circulated.</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Foundations of Health Science · Syllabus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20"/>
      <w:outlineLvl w:val="1"/>
    </w:pPr>
    <w:rPr>
      <w:rFonts w:ascii="Arial" w:cs="Arial" w:eastAsia="Arial" w:hAnsi="Arial"/>
      <w:b/>
      <w:bCs/>
      <w:color w:val="065C50"/>
      <w:sz w:val="24"/>
      <w:szCs w:val="24"/>
    </w:rPr>
  </w:style>
  <w:style w:type="paragraph" w:styleId="Heading3">
    <w:name w:val="Heading 3"/>
    <w:basedOn w:val="Normal"/>
    <w:next w:val="Normal"/>
    <w:qFormat/>
    <w:pPr>
      <w:spacing w:after="60" w:before="160"/>
      <w:outlineLvl w:val="2"/>
    </w:pPr>
    <w:rPr>
      <w:rFonts w:ascii="Arial" w:cs="Arial" w:eastAsia="Arial" w:hAnsi="Arial"/>
      <w:b/>
      <w:bCs/>
      <w:color w:val="1A1A1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2026-06-15T20:45:51.359Z</dcterms:created>
  <dcterms:modified xsi:type="dcterms:W3CDTF">2026-06-15T20:45:51.360Z</dcterms:modified>
</cp:coreProperties>
</file>

<file path=docProps/custom.xml><?xml version="1.0" encoding="utf-8"?>
<Properties xmlns="http://schemas.openxmlformats.org/officeDocument/2006/custom-properties" xmlns:vt="http://schemas.openxmlformats.org/officeDocument/2006/docPropsVTypes"/>
</file>